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175C7" w14:textId="7EDF9758" w:rsidR="00817DB5" w:rsidRDefault="00BF37A1">
      <w:pPr>
        <w:pStyle w:val="3"/>
        <w:rPr>
          <w:rFonts w:ascii="黑体" w:eastAsia="黑体" w:hAnsi="黑体" w:cstheme="minorBidi"/>
          <w:b w:val="0"/>
          <w:bCs w:val="0"/>
          <w:w w:val="95"/>
          <w:szCs w:val="44"/>
        </w:rPr>
      </w:pPr>
      <w:bookmarkStart w:id="0" w:name="_Toc421543628"/>
      <w:bookmarkStart w:id="1" w:name="_Toc384593522"/>
      <w:r>
        <w:rPr>
          <w:rFonts w:ascii="黑体" w:eastAsia="黑体" w:hAnsi="黑体" w:cstheme="minorBidi" w:hint="eastAsia"/>
          <w:b w:val="0"/>
          <w:bCs w:val="0"/>
          <w:w w:val="95"/>
          <w:szCs w:val="44"/>
        </w:rPr>
        <w:t>附件</w:t>
      </w:r>
      <w:r w:rsidR="00974978">
        <w:rPr>
          <w:rFonts w:ascii="黑体" w:eastAsia="黑体" w:hAnsi="黑体" w:cstheme="minorBidi"/>
          <w:b w:val="0"/>
          <w:bCs w:val="0"/>
          <w:w w:val="95"/>
          <w:szCs w:val="44"/>
        </w:rPr>
        <w:t>3</w:t>
      </w:r>
    </w:p>
    <w:p w14:paraId="31B6D270" w14:textId="77777777" w:rsidR="00BF37A1" w:rsidRDefault="00CA13B4" w:rsidP="00C22B6B">
      <w:pPr>
        <w:pStyle w:val="3"/>
        <w:spacing w:before="0" w:after="0" w:line="560" w:lineRule="exact"/>
        <w:jc w:val="center"/>
        <w:rPr>
          <w:rFonts w:ascii="方正小标宋简体" w:eastAsia="方正小标宋简体" w:hAnsi="黑体" w:cstheme="minorBidi"/>
          <w:b w:val="0"/>
          <w:bCs w:val="0"/>
          <w:w w:val="95"/>
          <w:sz w:val="44"/>
          <w:szCs w:val="44"/>
        </w:rPr>
      </w:pPr>
      <w:r>
        <w:rPr>
          <w:rFonts w:ascii="方正小标宋简体" w:eastAsia="方正小标宋简体" w:hAnsi="黑体" w:cstheme="minorBidi" w:hint="eastAsia"/>
          <w:b w:val="0"/>
          <w:bCs w:val="0"/>
          <w:w w:val="95"/>
          <w:sz w:val="44"/>
          <w:szCs w:val="44"/>
        </w:rPr>
        <w:t>《</w:t>
      </w:r>
      <w:r w:rsidR="00CD6200" w:rsidRPr="00CD6200">
        <w:rPr>
          <w:rFonts w:ascii="方正小标宋简体" w:eastAsia="方正小标宋简体" w:hAnsi="黑体" w:cstheme="minorBidi" w:hint="eastAsia"/>
          <w:b w:val="0"/>
          <w:bCs w:val="0"/>
          <w:w w:val="95"/>
          <w:sz w:val="44"/>
          <w:szCs w:val="44"/>
        </w:rPr>
        <w:t>知识产权侵权损害评估人员管理规范</w:t>
      </w:r>
      <w:r w:rsidRPr="00CA13B4">
        <w:rPr>
          <w:rFonts w:ascii="方正小标宋简体" w:eastAsia="方正小标宋简体" w:hAnsi="黑体" w:cstheme="minorBidi" w:hint="eastAsia"/>
          <w:b w:val="0"/>
          <w:bCs w:val="0"/>
          <w:w w:val="95"/>
          <w:sz w:val="44"/>
          <w:szCs w:val="44"/>
        </w:rPr>
        <w:t>（征求</w:t>
      </w:r>
    </w:p>
    <w:p w14:paraId="4FE00D10" w14:textId="2B889487" w:rsidR="00817DB5" w:rsidRDefault="00CA13B4" w:rsidP="00C22B6B">
      <w:pPr>
        <w:pStyle w:val="3"/>
        <w:spacing w:before="0" w:after="0" w:line="560" w:lineRule="exact"/>
        <w:jc w:val="center"/>
      </w:pPr>
      <w:r w:rsidRPr="00CA13B4">
        <w:rPr>
          <w:rFonts w:ascii="方正小标宋简体" w:eastAsia="方正小标宋简体" w:hAnsi="黑体" w:cstheme="minorBidi" w:hint="eastAsia"/>
          <w:b w:val="0"/>
          <w:bCs w:val="0"/>
          <w:w w:val="95"/>
          <w:sz w:val="44"/>
          <w:szCs w:val="44"/>
        </w:rPr>
        <w:t>意见稿）</w:t>
      </w:r>
      <w:r>
        <w:rPr>
          <w:rFonts w:ascii="方正小标宋简体" w:eastAsia="方正小标宋简体" w:hAnsi="黑体" w:cstheme="minorBidi" w:hint="eastAsia"/>
          <w:b w:val="0"/>
          <w:bCs w:val="0"/>
          <w:w w:val="95"/>
          <w:sz w:val="44"/>
          <w:szCs w:val="44"/>
        </w:rPr>
        <w:t>》编制说明</w:t>
      </w:r>
      <w:r>
        <w:rPr>
          <w:rFonts w:ascii="方正小标宋简体" w:eastAsia="方正小标宋简体" w:hAnsi="黑体" w:cstheme="minorBidi" w:hint="eastAsia"/>
          <w:b w:val="0"/>
          <w:bCs w:val="0"/>
          <w:w w:val="95"/>
          <w:sz w:val="44"/>
          <w:szCs w:val="44"/>
        </w:rPr>
        <w:br/>
      </w:r>
      <w:bookmarkStart w:id="2" w:name="_GoBack"/>
      <w:bookmarkEnd w:id="0"/>
      <w:bookmarkEnd w:id="1"/>
      <w:bookmarkEnd w:id="2"/>
    </w:p>
    <w:p w14:paraId="6161FA60" w14:textId="77777777" w:rsidR="00817DB5" w:rsidRDefault="00BF37A1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一、工作简况</w:t>
      </w:r>
    </w:p>
    <w:p w14:paraId="06CF245F" w14:textId="14FD092F" w:rsidR="00817DB5" w:rsidRDefault="00BF37A1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1</w:t>
      </w:r>
      <w:r w:rsidR="00C22B6B">
        <w:rPr>
          <w:rFonts w:ascii="楷体_GB2312" w:eastAsia="楷体_GB2312" w:hAnsi="楷体_GB2312" w:cs="楷体_GB2312" w:hint="eastAsia"/>
          <w:b/>
          <w:sz w:val="32"/>
          <w:szCs w:val="32"/>
        </w:rPr>
        <w:t>.</w:t>
      </w:r>
      <w:r w:rsidR="00C22B6B">
        <w:rPr>
          <w:rFonts w:ascii="楷体_GB2312" w:eastAsia="楷体_GB2312" w:hAnsi="楷体_GB2312" w:cs="楷体_GB2312"/>
          <w:b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任务来源</w:t>
      </w:r>
    </w:p>
    <w:p w14:paraId="53B30EC7" w14:textId="7D0DD152" w:rsidR="00817DB5" w:rsidRDefault="00BF37A1">
      <w:pPr>
        <w:pStyle w:val="2"/>
        <w:widowControl/>
        <w:spacing w:line="560" w:lineRule="exact"/>
        <w:ind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本项目由北京国严资产评估有限责任公司提出。中国知识产权研究会</w:t>
      </w:r>
      <w:r w:rsidR="00CA13B4">
        <w:rPr>
          <w:rFonts w:ascii="仿宋_GB2312" w:eastAsia="仿宋_GB2312" w:hAnsi="仿宋_GB2312" w:cs="仿宋_GB2312"/>
          <w:sz w:val="32"/>
          <w:szCs w:val="32"/>
        </w:rPr>
        <w:t>审定</w:t>
      </w:r>
      <w:r>
        <w:rPr>
          <w:rFonts w:ascii="仿宋_GB2312" w:eastAsia="仿宋_GB2312" w:hAnsi="仿宋_GB2312" w:cs="仿宋_GB2312"/>
          <w:sz w:val="32"/>
          <w:szCs w:val="32"/>
        </w:rPr>
        <w:t>同意《</w:t>
      </w:r>
      <w:bookmarkStart w:id="3" w:name="_Hlk165851676"/>
      <w:r w:rsidR="00CD6200">
        <w:rPr>
          <w:rFonts w:ascii="仿宋_GB2312" w:eastAsia="仿宋_GB2312" w:hAnsi="仿宋_GB2312" w:cs="仿宋_GB2312"/>
          <w:sz w:val="32"/>
          <w:szCs w:val="32"/>
        </w:rPr>
        <w:t>知识产权侵权损害评估人员</w:t>
      </w:r>
      <w:bookmarkEnd w:id="3"/>
      <w:r w:rsidR="00CD6200">
        <w:rPr>
          <w:rFonts w:ascii="仿宋_GB2312" w:eastAsia="仿宋_GB2312" w:hAnsi="仿宋_GB2312" w:cs="仿宋_GB2312"/>
          <w:sz w:val="32"/>
          <w:szCs w:val="32"/>
        </w:rPr>
        <w:t>管理规范</w:t>
      </w:r>
      <w:r>
        <w:rPr>
          <w:rFonts w:ascii="仿宋_GB2312" w:eastAsia="仿宋_GB2312" w:hAnsi="仿宋_GB2312" w:cs="仿宋_GB2312"/>
          <w:sz w:val="32"/>
          <w:szCs w:val="32"/>
        </w:rPr>
        <w:t>》</w:t>
      </w:r>
      <w:r w:rsidR="00CA13B4">
        <w:rPr>
          <w:rFonts w:ascii="仿宋_GB2312" w:eastAsia="仿宋_GB2312" w:hAnsi="仿宋_GB2312" w:cs="仿宋_GB2312"/>
          <w:sz w:val="32"/>
          <w:szCs w:val="32"/>
        </w:rPr>
        <w:t>通过</w:t>
      </w:r>
      <w:r>
        <w:rPr>
          <w:rFonts w:ascii="仿宋_GB2312" w:eastAsia="仿宋_GB2312" w:hAnsi="仿宋_GB2312" w:cs="仿宋_GB2312"/>
          <w:sz w:val="32"/>
          <w:szCs w:val="32"/>
        </w:rPr>
        <w:t>立项</w:t>
      </w:r>
      <w:r w:rsidR="00CA13B4">
        <w:rPr>
          <w:rFonts w:ascii="仿宋_GB2312" w:eastAsia="仿宋_GB2312" w:hAnsi="仿宋_GB2312" w:cs="仿宋_GB2312"/>
          <w:sz w:val="32"/>
          <w:szCs w:val="32"/>
        </w:rPr>
        <w:t>论证，准予立项</w:t>
      </w:r>
      <w:r>
        <w:rPr>
          <w:rFonts w:ascii="仿宋_GB2312" w:eastAsia="仿宋_GB2312" w:hAnsi="仿宋_GB2312" w:cs="仿宋_GB2312"/>
          <w:sz w:val="32"/>
          <w:szCs w:val="32"/>
        </w:rPr>
        <w:t>（中知研发〔2022〕86号），计划完成时间为202</w:t>
      </w:r>
      <w:r w:rsidR="00CA13B4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年。</w:t>
      </w:r>
    </w:p>
    <w:p w14:paraId="174ABFF6" w14:textId="6AE2C119" w:rsidR="00817DB5" w:rsidRDefault="00BF37A1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2</w:t>
      </w:r>
      <w:r w:rsidR="00C22B6B">
        <w:rPr>
          <w:rFonts w:ascii="楷体_GB2312" w:eastAsia="楷体_GB2312" w:hAnsi="楷体_GB2312" w:cs="楷体_GB2312" w:hint="eastAsia"/>
          <w:b/>
          <w:sz w:val="32"/>
          <w:szCs w:val="32"/>
        </w:rPr>
        <w:t>.</w:t>
      </w:r>
      <w:r w:rsidR="00C22B6B">
        <w:rPr>
          <w:rFonts w:ascii="楷体_GB2312" w:eastAsia="楷体_GB2312" w:hAnsi="楷体_GB2312" w:cs="楷体_GB2312"/>
          <w:b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主要工作过程</w:t>
      </w:r>
    </w:p>
    <w:p w14:paraId="7083702A" w14:textId="05A5CF4A" w:rsidR="00CA13B4" w:rsidRPr="00CA13B4" w:rsidRDefault="00CA13B4">
      <w:pPr>
        <w:spacing w:line="560" w:lineRule="exact"/>
        <w:ind w:leftChars="1" w:left="2"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A13B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启动阶段:</w:t>
      </w:r>
      <w:r w:rsidRPr="00CA13B4"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CA13B4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CA13B4">
        <w:rPr>
          <w:rFonts w:ascii="仿宋_GB2312" w:eastAsia="仿宋_GB2312" w:hAnsi="仿宋_GB2312" w:cs="仿宋_GB2312" w:hint="eastAsia"/>
          <w:sz w:val="32"/>
          <w:szCs w:val="32"/>
        </w:rPr>
        <w:t>月，</w:t>
      </w:r>
      <w:bookmarkStart w:id="4" w:name="_Hlk165851070"/>
      <w:r w:rsidR="00CD6200" w:rsidRPr="00CD6200">
        <w:rPr>
          <w:rFonts w:ascii="仿宋_GB2312" w:eastAsia="仿宋_GB2312" w:hAnsi="仿宋_GB2312" w:cs="仿宋_GB2312" w:hint="eastAsia"/>
          <w:sz w:val="32"/>
          <w:szCs w:val="32"/>
        </w:rPr>
        <w:t>组织召开《知识产权侵权损害评估人员管理规范》团体标准编制启动会</w:t>
      </w:r>
      <w:r w:rsidR="00CD6200">
        <w:rPr>
          <w:rFonts w:ascii="仿宋_GB2312" w:eastAsia="仿宋_GB2312" w:hAnsi="仿宋_GB2312" w:cs="仿宋_GB2312" w:hint="eastAsia"/>
          <w:sz w:val="32"/>
          <w:szCs w:val="32"/>
        </w:rPr>
        <w:t>，</w:t>
      </w:r>
      <w:bookmarkEnd w:id="4"/>
      <w:r w:rsidRPr="00CA13B4">
        <w:rPr>
          <w:rFonts w:ascii="仿宋_GB2312" w:eastAsia="仿宋_GB2312" w:hAnsi="仿宋_GB2312" w:cs="仿宋_GB2312" w:hint="eastAsia"/>
          <w:sz w:val="32"/>
          <w:szCs w:val="32"/>
        </w:rPr>
        <w:t>会议介绍了团体标准起草工作背景及相关情况，明确了标准编制的工作机制、工作目标及进度安排，确立了贴合实际需求的工作导向。</w:t>
      </w:r>
    </w:p>
    <w:p w14:paraId="29B307C7" w14:textId="3A7653C8" w:rsidR="00817DB5" w:rsidRDefault="00BF37A1">
      <w:pPr>
        <w:spacing w:line="560" w:lineRule="exact"/>
        <w:ind w:leftChars="1" w:left="2"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起草阶段：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2023年3月，按照</w:t>
      </w:r>
      <w:bookmarkStart w:id="5" w:name="OLE_LINK11"/>
      <w:bookmarkStart w:id="6" w:name="OLE_LINK12"/>
      <w:r>
        <w:rPr>
          <w:rFonts w:ascii="仿宋_GB2312" w:eastAsia="仿宋_GB2312" w:hAnsi="仿宋_GB2312" w:cs="仿宋_GB2312" w:hint="eastAsia"/>
          <w:sz w:val="32"/>
          <w:szCs w:val="32"/>
        </w:rPr>
        <w:t>中国知识产权研究会</w:t>
      </w:r>
      <w:bookmarkEnd w:id="5"/>
      <w:bookmarkEnd w:id="6"/>
      <w:r w:rsidR="00CA13B4"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要求，成立了以xxx等为组员的标准起草工作组。</w:t>
      </w:r>
    </w:p>
    <w:p w14:paraId="543E14BD" w14:textId="0517D0FC" w:rsidR="00817DB5" w:rsidRDefault="00CA13B4">
      <w:pPr>
        <w:spacing w:line="560" w:lineRule="exact"/>
        <w:ind w:leftChars="1" w:left="2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A13B4">
        <w:rPr>
          <w:rFonts w:ascii="仿宋_GB2312" w:eastAsia="仿宋_GB2312" w:hAnsi="仿宋_GB2312" w:cs="仿宋_GB2312" w:hint="eastAsia"/>
          <w:sz w:val="32"/>
          <w:szCs w:val="32"/>
        </w:rPr>
        <w:t>编撰该团体标准期间</w:t>
      </w:r>
      <w:r>
        <w:rPr>
          <w:rFonts w:ascii="仿宋_GB2312" w:eastAsia="仿宋_GB2312" w:hAnsi="仿宋_GB2312" w:cs="仿宋_GB2312" w:hint="eastAsia"/>
          <w:sz w:val="32"/>
          <w:szCs w:val="32"/>
        </w:rPr>
        <w:t>，工作组对</w:t>
      </w:r>
      <w:r w:rsidR="00CD6200">
        <w:rPr>
          <w:rFonts w:ascii="仿宋_GB2312" w:eastAsia="仿宋_GB2312" w:hAnsi="仿宋_GB2312" w:cs="仿宋_GB2312" w:hint="eastAsia"/>
          <w:sz w:val="32"/>
          <w:szCs w:val="32"/>
        </w:rPr>
        <w:t>知识产权侵权损害评估人员</w:t>
      </w:r>
      <w:r w:rsidRPr="00CA13B4">
        <w:rPr>
          <w:rFonts w:ascii="仿宋_GB2312" w:eastAsia="仿宋_GB2312" w:hAnsi="仿宋_GB2312" w:cs="仿宋_GB2312" w:hint="eastAsia"/>
          <w:sz w:val="32"/>
          <w:szCs w:val="32"/>
        </w:rPr>
        <w:t>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CA13B4">
        <w:rPr>
          <w:rFonts w:ascii="仿宋_GB2312" w:eastAsia="仿宋_GB2312" w:hAnsi="仿宋_GB2312" w:cs="仿宋_GB2312" w:hint="eastAsia"/>
          <w:sz w:val="32"/>
          <w:szCs w:val="32"/>
        </w:rPr>
        <w:t>方法进行总结</w:t>
      </w:r>
      <w:r>
        <w:rPr>
          <w:rFonts w:ascii="仿宋_GB2312" w:eastAsia="仿宋_GB2312" w:hAnsi="仿宋_GB2312" w:cs="仿宋_GB2312" w:hint="eastAsia"/>
          <w:sz w:val="32"/>
          <w:szCs w:val="32"/>
        </w:rPr>
        <w:t>，并进行了大量的资料查证和研究分析工作，针对标准草案框架及内容开展多次研讨，在此基础上编制出《</w:t>
      </w:r>
      <w:r w:rsidR="00CD6200">
        <w:rPr>
          <w:rFonts w:ascii="仿宋_GB2312" w:eastAsia="仿宋_GB2312" w:hAnsi="仿宋_GB2312" w:cs="仿宋_GB2312" w:hint="eastAsia"/>
          <w:sz w:val="32"/>
          <w:szCs w:val="32"/>
        </w:rPr>
        <w:t>知识产权侵权损害评估人员管理规范</w:t>
      </w:r>
      <w:r>
        <w:rPr>
          <w:rFonts w:ascii="仿宋_GB2312" w:eastAsia="仿宋_GB2312" w:hAnsi="仿宋_GB2312" w:cs="仿宋_GB2312" w:hint="eastAsia"/>
          <w:sz w:val="32"/>
          <w:szCs w:val="32"/>
        </w:rPr>
        <w:t>》标准草案初稿，对标准草案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初稿进行了认真的修改后，于2024年x月xx日形成了标准征求意见稿后，报中国知识产权研究会秘书处。</w:t>
      </w:r>
    </w:p>
    <w:p w14:paraId="6CAE8062" w14:textId="72311B06" w:rsidR="00817DB5" w:rsidRDefault="00BF37A1">
      <w:pPr>
        <w:spacing w:line="560" w:lineRule="exact"/>
        <w:ind w:leftChars="1" w:left="2"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征求意见阶段：</w:t>
      </w:r>
      <w:bookmarkStart w:id="7" w:name="OLE_LINK708"/>
      <w:bookmarkStart w:id="8" w:name="OLE_LINK707"/>
      <w:r>
        <w:rPr>
          <w:rFonts w:ascii="仿宋_GB2312" w:eastAsia="仿宋_GB2312" w:hAnsi="仿宋_GB2312" w:cs="仿宋_GB2312" w:hint="eastAsia"/>
          <w:sz w:val="32"/>
          <w:szCs w:val="32"/>
        </w:rPr>
        <w:t>预计202</w:t>
      </w:r>
      <w:r w:rsidR="00CA13B4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41E88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月-</w:t>
      </w:r>
      <w:r w:rsidR="00941E88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月。</w:t>
      </w:r>
      <w:bookmarkEnd w:id="7"/>
      <w:bookmarkEnd w:id="8"/>
    </w:p>
    <w:p w14:paraId="7D8014C0" w14:textId="76924576" w:rsidR="00817DB5" w:rsidRDefault="00BF37A1" w:rsidP="00C22B6B">
      <w:pPr>
        <w:spacing w:line="580" w:lineRule="exact"/>
        <w:ind w:leftChars="1" w:left="2"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审查阶段：</w:t>
      </w:r>
      <w:r>
        <w:rPr>
          <w:rFonts w:ascii="仿宋_GB2312" w:eastAsia="仿宋_GB2312" w:hAnsi="仿宋_GB2312" w:cs="仿宋_GB2312" w:hint="eastAsia"/>
          <w:sz w:val="32"/>
          <w:szCs w:val="32"/>
        </w:rPr>
        <w:t>预计202</w:t>
      </w:r>
      <w:r w:rsidR="00346164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41E88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月-</w:t>
      </w:r>
      <w:r w:rsidR="00941E88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月。</w:t>
      </w:r>
    </w:p>
    <w:p w14:paraId="35A91258" w14:textId="72193602" w:rsidR="00817DB5" w:rsidRDefault="00BF37A1" w:rsidP="00C22B6B">
      <w:pPr>
        <w:spacing w:line="580" w:lineRule="exact"/>
        <w:ind w:leftChars="1" w:left="2"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报批阶段：</w:t>
      </w:r>
      <w:r>
        <w:rPr>
          <w:rFonts w:ascii="仿宋_GB2312" w:eastAsia="仿宋_GB2312" w:hAnsi="仿宋_GB2312" w:cs="仿宋_GB2312" w:hint="eastAsia"/>
          <w:sz w:val="32"/>
          <w:szCs w:val="32"/>
        </w:rPr>
        <w:t>预计202</w:t>
      </w:r>
      <w:r w:rsidR="00346164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41E88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月-</w:t>
      </w:r>
      <w:r w:rsidR="00941E88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月。</w:t>
      </w:r>
    </w:p>
    <w:p w14:paraId="323198E7" w14:textId="12B23125" w:rsidR="00817DB5" w:rsidRDefault="00BF37A1" w:rsidP="00C22B6B">
      <w:pPr>
        <w:spacing w:line="58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3</w:t>
      </w:r>
      <w:r w:rsidR="00C22B6B">
        <w:rPr>
          <w:rFonts w:ascii="楷体_GB2312" w:eastAsia="楷体_GB2312" w:hAnsi="楷体_GB2312" w:cs="楷体_GB2312" w:hint="eastAsia"/>
          <w:b/>
          <w:sz w:val="32"/>
          <w:szCs w:val="32"/>
        </w:rPr>
        <w:t>.</w:t>
      </w:r>
      <w:r w:rsidR="00C22B6B">
        <w:rPr>
          <w:rFonts w:ascii="楷体_GB2312" w:eastAsia="楷体_GB2312" w:hAnsi="楷体_GB2312" w:cs="楷体_GB2312"/>
          <w:b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主要参加单位和工作组成员及其所作的工作等</w:t>
      </w:r>
    </w:p>
    <w:p w14:paraId="33C3B514" w14:textId="77777777" w:rsidR="00817DB5" w:rsidRDefault="00BF37A1" w:rsidP="00C22B6B">
      <w:pPr>
        <w:spacing w:line="580" w:lineRule="exact"/>
        <w:ind w:leftChars="1" w:left="2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本标准由xxx等单位共同负责起草。</w:t>
      </w:r>
    </w:p>
    <w:p w14:paraId="76068DF7" w14:textId="77777777" w:rsidR="00817DB5" w:rsidRDefault="00BF37A1" w:rsidP="00C22B6B">
      <w:pPr>
        <w:spacing w:line="580" w:lineRule="exact"/>
        <w:ind w:leftChars="1" w:left="2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主要成员：xxx。</w:t>
      </w:r>
    </w:p>
    <w:p w14:paraId="7481246E" w14:textId="77777777" w:rsidR="00817DB5" w:rsidRDefault="00BF37A1" w:rsidP="00C22B6B">
      <w:pPr>
        <w:spacing w:line="580" w:lineRule="exact"/>
        <w:ind w:leftChars="1" w:left="2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所做的工作：xxx为本标准主要执笔人，负责本标准的起草、编写。</w:t>
      </w:r>
    </w:p>
    <w:p w14:paraId="195F78CA" w14:textId="77777777" w:rsidR="00817DB5" w:rsidRDefault="00BF37A1" w:rsidP="00C22B6B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二、标准编制原则和主要内容</w:t>
      </w:r>
    </w:p>
    <w:p w14:paraId="7EA9955A" w14:textId="5AC64375" w:rsidR="00817DB5" w:rsidRDefault="00BF37A1" w:rsidP="00C22B6B">
      <w:pPr>
        <w:spacing w:line="58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1</w:t>
      </w:r>
      <w:r w:rsidR="00C22B6B">
        <w:rPr>
          <w:rFonts w:ascii="楷体_GB2312" w:eastAsia="楷体_GB2312" w:hAnsi="楷体_GB2312" w:cs="楷体_GB2312" w:hint="eastAsia"/>
          <w:b/>
          <w:sz w:val="32"/>
          <w:szCs w:val="32"/>
        </w:rPr>
        <w:t>.</w:t>
      </w:r>
      <w:r w:rsidR="00C22B6B">
        <w:rPr>
          <w:rFonts w:ascii="楷体_GB2312" w:eastAsia="楷体_GB2312" w:hAnsi="楷体_GB2312" w:cs="楷体_GB2312"/>
          <w:b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标准编制原则</w:t>
      </w:r>
    </w:p>
    <w:p w14:paraId="42EEE1AF" w14:textId="6A2C91D8" w:rsidR="00CA13B4" w:rsidRPr="00AD3FDE" w:rsidRDefault="00AD3FDE" w:rsidP="00C22B6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A13B4">
        <w:rPr>
          <w:rFonts w:ascii="仿宋_GB2312" w:eastAsia="仿宋_GB2312" w:hAnsi="仿宋_GB2312" w:cs="仿宋_GB2312" w:hint="eastAsia"/>
          <w:sz w:val="32"/>
          <w:szCs w:val="32"/>
        </w:rPr>
        <w:t>本标准的编制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</w:t>
      </w:r>
      <w:r w:rsidRPr="00D229FE">
        <w:rPr>
          <w:rFonts w:ascii="仿宋_GB2312" w:eastAsia="仿宋_GB2312" w:hAnsi="仿宋_GB2312" w:cs="仿宋_GB2312" w:hint="eastAsia"/>
          <w:sz w:val="32"/>
          <w:szCs w:val="32"/>
        </w:rPr>
        <w:t>知识产权侵权</w:t>
      </w:r>
      <w:r>
        <w:rPr>
          <w:rFonts w:ascii="仿宋_GB2312" w:eastAsia="仿宋_GB2312" w:hAnsi="仿宋_GB2312" w:cs="仿宋_GB2312" w:hint="eastAsia"/>
          <w:sz w:val="32"/>
          <w:szCs w:val="32"/>
        </w:rPr>
        <w:t>损害评估人员</w:t>
      </w:r>
      <w:r w:rsidRPr="0052590B">
        <w:rPr>
          <w:rFonts w:ascii="仿宋_GB2312" w:eastAsia="仿宋_GB2312" w:hAnsi="仿宋_GB2312" w:cs="仿宋_GB2312" w:hint="eastAsia"/>
          <w:sz w:val="32"/>
          <w:szCs w:val="32"/>
        </w:rPr>
        <w:t>工作实际需求，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遵循</w:t>
      </w:r>
      <w:r w:rsidRPr="00CA13B4">
        <w:rPr>
          <w:rFonts w:ascii="仿宋_GB2312" w:eastAsia="仿宋_GB2312" w:hAnsi="仿宋_GB2312" w:cs="仿宋_GB2312" w:hint="eastAsia"/>
          <w:sz w:val="32"/>
          <w:szCs w:val="32"/>
        </w:rPr>
        <w:t>先进性、科学性、合理性和可操作性的原则</w:t>
      </w:r>
      <w:r>
        <w:rPr>
          <w:rFonts w:ascii="仿宋_GB2312" w:eastAsia="仿宋_GB2312" w:hAnsi="仿宋_GB2312" w:cs="仿宋_GB2312" w:hint="eastAsia"/>
          <w:sz w:val="32"/>
          <w:szCs w:val="32"/>
        </w:rPr>
        <w:t>，满足</w:t>
      </w:r>
      <w:r w:rsidRPr="00CA13B4">
        <w:rPr>
          <w:rFonts w:ascii="仿宋_GB2312" w:eastAsia="仿宋_GB2312" w:hAnsi="仿宋_GB2312" w:cs="仿宋_GB2312" w:hint="eastAsia"/>
          <w:sz w:val="32"/>
          <w:szCs w:val="32"/>
        </w:rPr>
        <w:t>统一性、协调性、适用性、一致性和规范性</w:t>
      </w:r>
      <w:r>
        <w:rPr>
          <w:rFonts w:ascii="仿宋_GB2312" w:eastAsia="仿宋_GB2312" w:hAnsi="仿宋_GB2312" w:cs="仿宋_GB2312" w:hint="eastAsia"/>
          <w:sz w:val="32"/>
          <w:szCs w:val="32"/>
        </w:rPr>
        <w:t>的要求</w:t>
      </w:r>
      <w:r w:rsidRPr="00CA13B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FBCA7BD" w14:textId="77777777" w:rsidR="00CA13B4" w:rsidRDefault="00BF37A1" w:rsidP="00C22B6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本标准编制过程中，</w:t>
      </w:r>
      <w:r w:rsidR="00CA13B4" w:rsidRPr="00CA13B4">
        <w:rPr>
          <w:rFonts w:ascii="仿宋_GB2312" w:eastAsia="仿宋_GB2312" w:hAnsi="仿宋_GB2312" w:cs="仿宋_GB2312" w:hint="eastAsia"/>
          <w:sz w:val="32"/>
          <w:szCs w:val="32"/>
        </w:rPr>
        <w:t>主要按GB/T 1.1－2009《标准化工作导则 第1部分：标准的结构和编写》和GB/T 1.2－2002《标准化工作导则 第2部分：标准中规范性技术要素内容的确定方法》进行编写。本标准编制过程中，主要参考了以下标准或文件：</w:t>
      </w:r>
    </w:p>
    <w:p w14:paraId="3B2353B4" w14:textId="77777777" w:rsidR="00D229FE" w:rsidRPr="00D229FE" w:rsidRDefault="00D229FE" w:rsidP="00C22B6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229FE">
        <w:rPr>
          <w:rFonts w:ascii="仿宋_GB2312" w:eastAsia="仿宋_GB2312" w:hAnsi="仿宋_GB2312" w:cs="仿宋_GB2312" w:hint="eastAsia"/>
          <w:sz w:val="32"/>
          <w:szCs w:val="32"/>
        </w:rPr>
        <w:t>GB/T 21374-2008 知识产权文献与信息 基本词汇</w:t>
      </w:r>
    </w:p>
    <w:p w14:paraId="2F0A59CA" w14:textId="0E7A67AC" w:rsidR="00D229FE" w:rsidRPr="00D229FE" w:rsidRDefault="00D229FE" w:rsidP="00C22B6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229FE">
        <w:rPr>
          <w:rFonts w:ascii="仿宋_GB2312" w:eastAsia="仿宋_GB2312" w:hAnsi="仿宋_GB2312" w:cs="仿宋_GB2312"/>
          <w:sz w:val="32"/>
          <w:szCs w:val="32"/>
        </w:rPr>
        <w:t>T/CIPS 006</w:t>
      </w:r>
      <w:r w:rsidRPr="00D229FE">
        <w:rPr>
          <w:rFonts w:ascii="仿宋_GB2312" w:eastAsia="仿宋_GB2312" w:hAnsi="仿宋_GB2312" w:cs="仿宋_GB2312" w:hint="eastAsia"/>
          <w:sz w:val="32"/>
          <w:szCs w:val="32"/>
        </w:rPr>
        <w:t>-</w:t>
      </w:r>
      <w:r w:rsidRPr="00D229FE">
        <w:rPr>
          <w:rFonts w:ascii="仿宋_GB2312" w:eastAsia="仿宋_GB2312" w:hAnsi="仿宋_GB2312" w:cs="仿宋_GB2312"/>
          <w:sz w:val="32"/>
          <w:szCs w:val="32"/>
        </w:rPr>
        <w:t>2023</w:t>
      </w:r>
      <w:r w:rsidRPr="00D229FE">
        <w:rPr>
          <w:rFonts w:ascii="仿宋_GB2312" w:eastAsia="仿宋_GB2312" w:hAnsi="仿宋_GB2312" w:cs="仿宋_GB2312" w:hint="eastAsia"/>
          <w:sz w:val="32"/>
          <w:szCs w:val="32"/>
        </w:rPr>
        <w:t xml:space="preserve"> 知识产权侵权损害赔偿评估方法</w:t>
      </w:r>
    </w:p>
    <w:p w14:paraId="43E57BCE" w14:textId="15F3D29A" w:rsidR="00817DB5" w:rsidRDefault="00BF37A1" w:rsidP="00C22B6B">
      <w:pPr>
        <w:spacing w:line="58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lastRenderedPageBreak/>
        <w:t>2</w:t>
      </w:r>
      <w:r w:rsidR="00C22B6B">
        <w:rPr>
          <w:rFonts w:ascii="楷体_GB2312" w:eastAsia="楷体_GB2312" w:hAnsi="楷体_GB2312" w:cs="楷体_GB2312" w:hint="eastAsia"/>
          <w:b/>
          <w:sz w:val="32"/>
          <w:szCs w:val="32"/>
        </w:rPr>
        <w:t>.</w:t>
      </w:r>
      <w:r w:rsidR="00C22B6B">
        <w:rPr>
          <w:rFonts w:ascii="楷体_GB2312" w:eastAsia="楷体_GB2312" w:hAnsi="楷体_GB2312" w:cs="楷体_GB2312"/>
          <w:b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标准主要内容</w:t>
      </w:r>
    </w:p>
    <w:p w14:paraId="13DEB0AC" w14:textId="440BC5F1" w:rsidR="00C425F5" w:rsidRDefault="00C425F5" w:rsidP="00C425F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本团体标准围绕</w:t>
      </w:r>
      <w:r w:rsidRPr="00C425F5">
        <w:rPr>
          <w:rFonts w:ascii="仿宋_GB2312" w:eastAsia="仿宋_GB2312" w:hAnsi="仿宋_GB2312" w:cs="仿宋_GB2312" w:hint="eastAsia"/>
          <w:sz w:val="32"/>
          <w:szCs w:val="32"/>
        </w:rPr>
        <w:t>知识产权侵权损害评估人员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的从业条件、</w:t>
      </w:r>
      <w:r w:rsidRPr="00C425F5">
        <w:rPr>
          <w:rFonts w:ascii="仿宋_GB2312" w:eastAsia="仿宋_GB2312" w:hAnsi="仿宋_GB2312" w:cs="仿宋_GB2312" w:hint="eastAsia"/>
          <w:sz w:val="32"/>
          <w:szCs w:val="32"/>
        </w:rPr>
        <w:t>知识产权侵权损害评估人员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的履职要求和</w:t>
      </w:r>
      <w:r w:rsidRPr="00C425F5">
        <w:rPr>
          <w:rFonts w:ascii="仿宋_GB2312" w:eastAsia="仿宋_GB2312" w:hAnsi="仿宋_GB2312" w:cs="仿宋_GB2312" w:hint="eastAsia"/>
          <w:sz w:val="32"/>
          <w:szCs w:val="32"/>
        </w:rPr>
        <w:t>知识产权侵权损害评估人员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的认定与管理等三个方面开展研究。</w:t>
      </w:r>
      <w:bookmarkStart w:id="9" w:name="OLE_LINK46"/>
      <w:bookmarkStart w:id="10" w:name="OLE_LINK45"/>
    </w:p>
    <w:p w14:paraId="612C68C2" w14:textId="77777777" w:rsidR="00C425F5" w:rsidRDefault="00C425F5" w:rsidP="00C425F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（1）从业条件</w:t>
      </w:r>
    </w:p>
    <w:p w14:paraId="7FBBD61B" w14:textId="04A0DD98" w:rsidR="00C425F5" w:rsidRDefault="00C425F5" w:rsidP="00C425F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本团体标准主要包括</w:t>
      </w:r>
      <w:r w:rsidRPr="00C425F5">
        <w:rPr>
          <w:rFonts w:ascii="仿宋_GB2312" w:eastAsia="仿宋_GB2312" w:hAnsi="仿宋_GB2312" w:cs="仿宋_GB2312" w:hint="eastAsia"/>
          <w:sz w:val="32"/>
          <w:szCs w:val="32"/>
        </w:rPr>
        <w:t>知识产权侵权损害评估人员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职业特征、基本条件、专业条件、其他要求以及禁止范围等从业条件。主要明确</w:t>
      </w:r>
      <w:r w:rsidRPr="00C425F5">
        <w:rPr>
          <w:rFonts w:ascii="仿宋_GB2312" w:eastAsia="仿宋_GB2312" w:hAnsi="仿宋_GB2312" w:cs="仿宋_GB2312" w:hint="eastAsia"/>
          <w:sz w:val="32"/>
          <w:szCs w:val="32"/>
        </w:rPr>
        <w:t>知识产权侵权损害评估人员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的职业能力。</w:t>
      </w:r>
    </w:p>
    <w:p w14:paraId="6411BEC5" w14:textId="77777777" w:rsidR="00C425F5" w:rsidRDefault="00C425F5" w:rsidP="00C425F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（2）履职要求</w:t>
      </w:r>
    </w:p>
    <w:p w14:paraId="17D07A3D" w14:textId="778352EA" w:rsidR="00C425F5" w:rsidRDefault="00C425F5" w:rsidP="00C425F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本团体标准提供的履职要求包括</w:t>
      </w:r>
      <w:r w:rsidRPr="00C425F5">
        <w:rPr>
          <w:rFonts w:ascii="仿宋_GB2312" w:eastAsia="仿宋_GB2312" w:hAnsi="仿宋_GB2312" w:cs="仿宋_GB2312" w:hint="eastAsia"/>
          <w:sz w:val="32"/>
          <w:szCs w:val="32"/>
        </w:rPr>
        <w:t>知识产权侵权损害评估人员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的工作内容要求、道德要求和培训。</w:t>
      </w:r>
    </w:p>
    <w:p w14:paraId="33EE3480" w14:textId="4ED9C916" w:rsidR="00C425F5" w:rsidRDefault="00C425F5" w:rsidP="00C425F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</w:t>
      </w:r>
      <w:r w:rsidRPr="00C425F5">
        <w:rPr>
          <w:rFonts w:ascii="仿宋_GB2312" w:eastAsia="仿宋_GB2312" w:hAnsi="仿宋_GB2312" w:cs="仿宋_GB2312" w:hint="eastAsia"/>
          <w:sz w:val="32"/>
          <w:szCs w:val="32"/>
        </w:rPr>
        <w:t>知识产权侵权损害评估人员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的认定与管理</w:t>
      </w:r>
    </w:p>
    <w:bookmarkEnd w:id="9"/>
    <w:bookmarkEnd w:id="10"/>
    <w:p w14:paraId="5460F122" w14:textId="24FC6056" w:rsidR="00C425F5" w:rsidRDefault="00C425F5" w:rsidP="00C425F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本团体标准提供组建</w:t>
      </w:r>
      <w:r w:rsidRPr="00C425F5">
        <w:rPr>
          <w:rFonts w:ascii="仿宋_GB2312" w:eastAsia="仿宋_GB2312" w:hAnsi="仿宋_GB2312" w:cs="仿宋_GB2312" w:hint="eastAsia"/>
          <w:sz w:val="32"/>
          <w:szCs w:val="32"/>
        </w:rPr>
        <w:t>知识产权侵权损害评估人员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评审委员会、评审委员会委员条件等内容，加强了</w:t>
      </w:r>
      <w:r w:rsidRPr="00C425F5">
        <w:rPr>
          <w:rFonts w:ascii="仿宋_GB2312" w:eastAsia="仿宋_GB2312" w:hAnsi="仿宋_GB2312" w:cs="仿宋_GB2312" w:hint="eastAsia"/>
          <w:sz w:val="32"/>
          <w:szCs w:val="32"/>
        </w:rPr>
        <w:t>知识产权侵权损害评估人员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的监督与处罚机制。</w:t>
      </w:r>
    </w:p>
    <w:p w14:paraId="6F5F813C" w14:textId="3F9C418A" w:rsidR="00817DB5" w:rsidRPr="00D229FE" w:rsidRDefault="00D229FE" w:rsidP="00AD3F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本团体标准加强了</w:t>
      </w:r>
      <w:r w:rsidR="00CD6200">
        <w:rPr>
          <w:rFonts w:ascii="仿宋_GB2312" w:eastAsia="仿宋_GB2312" w:hAnsi="仿宋_GB2312" w:cs="仿宋_GB2312" w:hint="eastAsia"/>
          <w:sz w:val="32"/>
          <w:szCs w:val="32"/>
        </w:rPr>
        <w:t>知识产权侵权损害评估人员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管理，规范</w:t>
      </w:r>
      <w:r w:rsidR="00C13CE3" w:rsidRPr="00C13CE3">
        <w:rPr>
          <w:rFonts w:ascii="仿宋_GB2312" w:eastAsia="仿宋_GB2312" w:hAnsi="仿宋_GB2312" w:cs="仿宋_GB2312" w:hint="eastAsia"/>
          <w:sz w:val="32"/>
          <w:szCs w:val="32"/>
        </w:rPr>
        <w:t>知识产权侵权损害评估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活动方面的分析研究。</w:t>
      </w:r>
    </w:p>
    <w:p w14:paraId="3DEDD681" w14:textId="20660378" w:rsidR="00817DB5" w:rsidRDefault="00BF37A1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3</w:t>
      </w:r>
      <w:r w:rsidR="00C22B6B">
        <w:rPr>
          <w:rFonts w:ascii="楷体_GB2312" w:eastAsia="楷体_GB2312" w:hAnsi="楷体_GB2312" w:cs="楷体_GB2312" w:hint="eastAsia"/>
          <w:b/>
          <w:sz w:val="32"/>
          <w:szCs w:val="32"/>
        </w:rPr>
        <w:t>.</w:t>
      </w:r>
      <w:r w:rsidR="00C22B6B">
        <w:rPr>
          <w:rFonts w:ascii="楷体_GB2312" w:eastAsia="楷体_GB2312" w:hAnsi="楷体_GB2312" w:cs="楷体_GB2312"/>
          <w:b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修订前后标准差异</w:t>
      </w:r>
    </w:p>
    <w:p w14:paraId="684AE881" w14:textId="77777777" w:rsidR="00817DB5" w:rsidRDefault="00BF37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主要修改内容如下：</w:t>
      </w:r>
    </w:p>
    <w:p w14:paraId="084E2054" w14:textId="77777777" w:rsidR="00817DB5" w:rsidRDefault="00BF37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22B6B">
        <w:rPr>
          <w:rFonts w:ascii="黑体" w:eastAsia="黑体" w:hAnsi="黑体" w:cs="仿宋_GB2312" w:hint="eastAsia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修改“1 范围”的表述；</w:t>
      </w:r>
    </w:p>
    <w:p w14:paraId="383AEFC3" w14:textId="10F7B4DF" w:rsidR="00817DB5" w:rsidRDefault="00BF37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22B6B">
        <w:rPr>
          <w:rFonts w:ascii="黑体" w:eastAsia="黑体" w:hAnsi="黑体" w:cs="仿宋_GB2312" w:hint="eastAsia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修改“3.</w:t>
      </w:r>
      <w:r w:rsidR="00C13CE3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C13CE3">
        <w:rPr>
          <w:rFonts w:ascii="仿宋_GB2312" w:eastAsia="仿宋_GB2312" w:hAnsi="仿宋_GB2312" w:cs="仿宋_GB2312" w:hint="eastAsia"/>
          <w:sz w:val="32"/>
          <w:szCs w:val="32"/>
        </w:rPr>
        <w:t>评估机构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”部分表述；</w:t>
      </w:r>
    </w:p>
    <w:p w14:paraId="0DEC59EC" w14:textId="13ABD942" w:rsidR="008C6816" w:rsidRDefault="00BF37A1" w:rsidP="008C681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22B6B">
        <w:rPr>
          <w:rFonts w:ascii="黑体" w:eastAsia="黑体" w:hAnsi="黑体" w:cs="仿宋_GB2312" w:hint="eastAsia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修改“</w:t>
      </w:r>
      <w:r w:rsidR="00C13CE3"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C425F5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C13CE3">
        <w:rPr>
          <w:rFonts w:ascii="仿宋_GB2312" w:eastAsia="仿宋_GB2312" w:hAnsi="仿宋_GB2312" w:cs="仿宋_GB2312" w:hint="eastAsia"/>
          <w:sz w:val="32"/>
          <w:szCs w:val="32"/>
        </w:rPr>
        <w:t xml:space="preserve"> 评估人员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”部分表述；</w:t>
      </w:r>
    </w:p>
    <w:p w14:paraId="7211D2CE" w14:textId="353CF753" w:rsidR="008C6816" w:rsidRPr="008C6816" w:rsidRDefault="008C6816" w:rsidP="00C22B6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22B6B">
        <w:rPr>
          <w:rFonts w:ascii="黑体" w:eastAsia="黑体" w:hAnsi="黑体" w:cs="仿宋_GB2312" w:hint="eastAsia"/>
          <w:sz w:val="32"/>
          <w:szCs w:val="32"/>
        </w:rPr>
        <w:lastRenderedPageBreak/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修改“</w:t>
      </w:r>
      <w:r w:rsidR="0031494D" w:rsidRPr="0031494D">
        <w:rPr>
          <w:rFonts w:ascii="仿宋_GB2312" w:eastAsia="仿宋_GB2312" w:hAnsi="仿宋_GB2312" w:cs="仿宋_GB2312" w:hint="eastAsia"/>
          <w:sz w:val="32"/>
          <w:szCs w:val="32"/>
        </w:rPr>
        <w:t>5.3专业条件</w:t>
      </w:r>
      <w:r>
        <w:rPr>
          <w:rFonts w:ascii="仿宋_GB2312" w:eastAsia="仿宋_GB2312" w:hAnsi="仿宋_GB2312" w:cs="仿宋_GB2312" w:hint="eastAsia"/>
          <w:sz w:val="32"/>
          <w:szCs w:val="32"/>
        </w:rPr>
        <w:t>”中“</w:t>
      </w:r>
      <w:r w:rsidR="0031494D" w:rsidRPr="0031494D">
        <w:rPr>
          <w:rFonts w:ascii="仿宋_GB2312" w:eastAsia="仿宋_GB2312" w:hAnsi="仿宋_GB2312" w:cs="仿宋_GB2312" w:hint="eastAsia"/>
          <w:sz w:val="32"/>
          <w:szCs w:val="32"/>
        </w:rPr>
        <w:t>具有知识产权领域或自然科学领域高级专业技术职称或相当，并从事知识产权相关工作 5 （含）年以上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”的相关内容；</w:t>
      </w:r>
    </w:p>
    <w:p w14:paraId="198256E8" w14:textId="384CD035" w:rsidR="0031494D" w:rsidRDefault="00BF37A1" w:rsidP="00C22B6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22B6B">
        <w:rPr>
          <w:rFonts w:ascii="黑体" w:eastAsia="黑体" w:hAnsi="黑体" w:cs="仿宋_GB2312" w:hint="eastAsia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修改“</w:t>
      </w:r>
      <w:r w:rsidR="0031494D" w:rsidRPr="0031494D">
        <w:rPr>
          <w:rFonts w:ascii="仿宋_GB2312" w:eastAsia="仿宋_GB2312" w:hAnsi="仿宋_GB2312" w:cs="仿宋_GB2312" w:hint="eastAsia"/>
          <w:sz w:val="32"/>
          <w:szCs w:val="32"/>
        </w:rPr>
        <w:t>6.4知识产权侵权损害评估人员的认定与管理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”的表述、修改“</w:t>
      </w:r>
      <w:r w:rsidR="0031494D" w:rsidRPr="0031494D">
        <w:rPr>
          <w:rFonts w:ascii="仿宋_GB2312" w:eastAsia="仿宋_GB2312" w:hAnsi="仿宋_GB2312" w:cs="仿宋_GB2312" w:hint="eastAsia"/>
          <w:sz w:val="32"/>
          <w:szCs w:val="32"/>
        </w:rPr>
        <w:t>6.4.1 评审委员会组成</w:t>
      </w:r>
      <w:r>
        <w:rPr>
          <w:rFonts w:ascii="仿宋_GB2312" w:eastAsia="仿宋_GB2312" w:hAnsi="仿宋_GB2312" w:cs="仿宋_GB2312" w:hint="eastAsia"/>
          <w:sz w:val="32"/>
          <w:szCs w:val="32"/>
        </w:rPr>
        <w:t>”条款内容；</w:t>
      </w:r>
    </w:p>
    <w:p w14:paraId="49B3507A" w14:textId="77777777" w:rsidR="00817DB5" w:rsidRDefault="00BF37A1" w:rsidP="00C22B6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22B6B">
        <w:rPr>
          <w:rFonts w:ascii="黑体" w:eastAsia="黑体" w:hAnsi="黑体" w:cs="仿宋_GB2312" w:hint="eastAsia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修正部分笔误。</w:t>
      </w:r>
    </w:p>
    <w:p w14:paraId="7F233CF2" w14:textId="189CD316" w:rsidR="00817DB5" w:rsidRDefault="00BF37A1" w:rsidP="00C22B6B">
      <w:pPr>
        <w:spacing w:line="58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4</w:t>
      </w:r>
      <w:r w:rsidR="00C22B6B">
        <w:rPr>
          <w:rFonts w:ascii="楷体_GB2312" w:eastAsia="楷体_GB2312" w:hAnsi="楷体_GB2312" w:cs="楷体_GB2312" w:hint="eastAsia"/>
          <w:b/>
          <w:sz w:val="32"/>
          <w:szCs w:val="32"/>
        </w:rPr>
        <w:t>.</w:t>
      </w:r>
      <w:r w:rsidR="00C22B6B">
        <w:rPr>
          <w:rFonts w:ascii="楷体_GB2312" w:eastAsia="楷体_GB2312" w:hAnsi="楷体_GB2312" w:cs="楷体_GB2312"/>
          <w:b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解决的主要问题</w:t>
      </w:r>
    </w:p>
    <w:p w14:paraId="3B84C6E3" w14:textId="745D12FE" w:rsidR="009C3EA6" w:rsidRPr="009C3EA6" w:rsidRDefault="009C3EA6" w:rsidP="00C22B6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11" w:name="OLE_LINK43"/>
      <w:bookmarkStart w:id="12" w:name="OLE_LINK44"/>
      <w:r w:rsidRPr="009C3EA6">
        <w:rPr>
          <w:rFonts w:ascii="仿宋_GB2312" w:eastAsia="仿宋_GB2312" w:hAnsi="仿宋_GB2312" w:cs="仿宋_GB2312" w:hint="eastAsia"/>
          <w:sz w:val="32"/>
          <w:szCs w:val="32"/>
        </w:rPr>
        <w:t>知识产权侵权损害评估是强化知识产权全链条保护的重要环节，受到相关各方及社会各界广泛关注，其规范化、精细化、标准化已成为市场竞争主体的共同诉求，特制定本标准。</w:t>
      </w:r>
      <w:r w:rsidR="00C425F5" w:rsidRPr="00C425F5">
        <w:rPr>
          <w:rFonts w:ascii="仿宋_GB2312" w:eastAsia="仿宋_GB2312" w:hAnsi="仿宋_GB2312" w:cs="仿宋_GB2312" w:hint="eastAsia"/>
          <w:sz w:val="32"/>
          <w:szCs w:val="32"/>
        </w:rPr>
        <w:t>本标准为从事知识产权侵权损害评估</w:t>
      </w:r>
      <w:r w:rsidR="00C425F5">
        <w:rPr>
          <w:rFonts w:ascii="仿宋_GB2312" w:eastAsia="仿宋_GB2312" w:hAnsi="仿宋_GB2312" w:cs="仿宋_GB2312" w:hint="eastAsia"/>
          <w:sz w:val="32"/>
          <w:szCs w:val="32"/>
        </w:rPr>
        <w:t>人员</w:t>
      </w:r>
      <w:r w:rsidR="00C425F5" w:rsidRPr="00C425F5">
        <w:rPr>
          <w:rFonts w:ascii="仿宋_GB2312" w:eastAsia="仿宋_GB2312" w:hAnsi="仿宋_GB2312" w:cs="仿宋_GB2312" w:hint="eastAsia"/>
          <w:sz w:val="32"/>
          <w:szCs w:val="32"/>
        </w:rPr>
        <w:t>的认定及管理等提供指引，旨在提升知识产权侵权损害评估的专业性和可靠性，确保知识产权侵权损害评估的准确率和效率</w:t>
      </w:r>
      <w:r w:rsidRPr="009C3EA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bookmarkEnd w:id="11"/>
    <w:bookmarkEnd w:id="12"/>
    <w:p w14:paraId="65B1C478" w14:textId="77777777" w:rsidR="00817DB5" w:rsidRDefault="00BF37A1" w:rsidP="00C22B6B">
      <w:pPr>
        <w:snapToGrid w:val="0"/>
        <w:spacing w:line="58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三、主要试验（或验证）情况</w:t>
      </w:r>
    </w:p>
    <w:p w14:paraId="6FCB1B57" w14:textId="77777777" w:rsidR="00817DB5" w:rsidRDefault="00BF37A1" w:rsidP="00C22B6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14:paraId="5DE4BA16" w14:textId="77777777" w:rsidR="00817DB5" w:rsidRDefault="00BF37A1" w:rsidP="00C22B6B">
      <w:pPr>
        <w:spacing w:line="58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四、标准中涉及专利的情况</w:t>
      </w:r>
    </w:p>
    <w:p w14:paraId="2AC3C3F9" w14:textId="77777777" w:rsidR="00817DB5" w:rsidRDefault="00BF37A1" w:rsidP="00C22B6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13" w:name="OLE_LINK286"/>
      <w:bookmarkStart w:id="14" w:name="OLE_LINK285"/>
      <w:bookmarkStart w:id="15" w:name="OLE_LINK27"/>
      <w:bookmarkStart w:id="16" w:name="OLE_LINK28"/>
      <w:r>
        <w:rPr>
          <w:rFonts w:ascii="仿宋_GB2312" w:eastAsia="仿宋_GB2312" w:hAnsi="仿宋_GB2312" w:cs="仿宋_GB2312" w:hint="eastAsia"/>
          <w:sz w:val="32"/>
          <w:szCs w:val="32"/>
        </w:rPr>
        <w:t>本标准</w:t>
      </w:r>
      <w:bookmarkEnd w:id="13"/>
      <w:bookmarkEnd w:id="14"/>
      <w:r>
        <w:rPr>
          <w:rFonts w:ascii="仿宋_GB2312" w:eastAsia="仿宋_GB2312" w:hAnsi="仿宋_GB2312" w:cs="仿宋_GB2312" w:hint="eastAsia"/>
          <w:sz w:val="32"/>
          <w:szCs w:val="32"/>
        </w:rPr>
        <w:t>不涉及专利问题。</w:t>
      </w:r>
      <w:bookmarkEnd w:id="15"/>
      <w:bookmarkEnd w:id="16"/>
    </w:p>
    <w:p w14:paraId="3341E31A" w14:textId="77777777" w:rsidR="00817DB5" w:rsidRDefault="00BF37A1" w:rsidP="00C22B6B">
      <w:pPr>
        <w:spacing w:line="58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五、预期达到的社会效益、对产业发展的作用等情况</w:t>
      </w:r>
    </w:p>
    <w:p w14:paraId="5CAB1613" w14:textId="77777777" w:rsidR="00C22B6B" w:rsidRDefault="009C3EA6" w:rsidP="00C22B6B">
      <w:pPr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C3EA6">
        <w:rPr>
          <w:rFonts w:ascii="仿宋_GB2312" w:eastAsia="仿宋_GB2312" w:hAnsi="仿宋_GB2312" w:cs="仿宋_GB2312" w:hint="eastAsia"/>
          <w:sz w:val="32"/>
          <w:szCs w:val="32"/>
        </w:rPr>
        <w:t>本标准可以提高</w:t>
      </w:r>
      <w:r w:rsidR="00CD6200">
        <w:rPr>
          <w:rFonts w:ascii="仿宋_GB2312" w:eastAsia="仿宋_GB2312" w:hAnsi="仿宋_GB2312" w:cs="仿宋_GB2312" w:hint="eastAsia"/>
          <w:sz w:val="32"/>
          <w:szCs w:val="32"/>
        </w:rPr>
        <w:t>知识产权侵权损害评估人员</w:t>
      </w:r>
      <w:r w:rsidRPr="009C3EA6">
        <w:rPr>
          <w:rFonts w:ascii="仿宋_GB2312" w:eastAsia="仿宋_GB2312" w:hAnsi="仿宋_GB2312" w:cs="仿宋_GB2312" w:hint="eastAsia"/>
          <w:sz w:val="32"/>
          <w:szCs w:val="32"/>
        </w:rPr>
        <w:t>的工作效率和质量，建立起更加科学、公正、透明的知识产权侵权损害评估体系，为行业提供更加可靠的技术支撑和法律保障。</w:t>
      </w:r>
    </w:p>
    <w:p w14:paraId="2A77FB9C" w14:textId="278CB93D" w:rsidR="00817DB5" w:rsidRDefault="009C3EA6">
      <w:pPr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六、与国际、国外对比情况</w:t>
      </w:r>
    </w:p>
    <w:p w14:paraId="57FC605F" w14:textId="77777777" w:rsidR="00817DB5" w:rsidRDefault="00BF37A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国外无相关标准。</w:t>
      </w:r>
    </w:p>
    <w:p w14:paraId="0809FF0C" w14:textId="77777777" w:rsidR="00817DB5" w:rsidRDefault="00BF37A1">
      <w:pPr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七、在标准体系中的位置，与现行相关法律、法规、规章及标准，特别是强制性标准的协调性</w:t>
      </w:r>
    </w:p>
    <w:p w14:paraId="028A1D5F" w14:textId="77777777" w:rsidR="00817DB5" w:rsidRDefault="00BF37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本标准相关部分遵循现行法律、法规、规章及相关标准要求。</w:t>
      </w:r>
    </w:p>
    <w:p w14:paraId="079566DC" w14:textId="77777777" w:rsidR="00817DB5" w:rsidRDefault="00BF37A1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八、重大分歧意见的处理经过和依据</w:t>
      </w:r>
    </w:p>
    <w:p w14:paraId="0997B2E3" w14:textId="77777777" w:rsidR="00817DB5" w:rsidRDefault="00BF37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暂无。</w:t>
      </w:r>
    </w:p>
    <w:p w14:paraId="1BB651F9" w14:textId="77777777" w:rsidR="00817DB5" w:rsidRDefault="00BF37A1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九、标准性质的建议说明</w:t>
      </w:r>
    </w:p>
    <w:p w14:paraId="3C738BC9" w14:textId="77777777" w:rsidR="00817DB5" w:rsidRDefault="00BF37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建议本标准的性质为团体标准。</w:t>
      </w:r>
    </w:p>
    <w:p w14:paraId="37C67829" w14:textId="77777777" w:rsidR="00817DB5" w:rsidRDefault="00BF37A1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十、贯彻标准的要求和措施建议</w:t>
      </w:r>
    </w:p>
    <w:p w14:paraId="53FC8413" w14:textId="77777777" w:rsidR="00817DB5" w:rsidRDefault="00BF37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建议本标准批准发布之日起实施。</w:t>
      </w:r>
    </w:p>
    <w:p w14:paraId="1963BC2C" w14:textId="77777777" w:rsidR="00817DB5" w:rsidRDefault="00BF37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建议本标准由中国知识产权研究会组织宣贯实施，其他单位依据或参照本标准开展相关工作。</w:t>
      </w:r>
    </w:p>
    <w:p w14:paraId="2236B3B6" w14:textId="77777777" w:rsidR="00817DB5" w:rsidRDefault="00BF37A1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十一、废止现行相关标准的建议</w:t>
      </w:r>
    </w:p>
    <w:p w14:paraId="27990AC9" w14:textId="77777777" w:rsidR="00817DB5" w:rsidRDefault="00BF37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14:paraId="353F874E" w14:textId="77777777" w:rsidR="00817DB5" w:rsidRDefault="00BF37A1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十二、其他应予说明的事项</w:t>
      </w:r>
    </w:p>
    <w:p w14:paraId="61367D59" w14:textId="77777777" w:rsidR="00817DB5" w:rsidRDefault="00BF37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暂无。</w:t>
      </w:r>
    </w:p>
    <w:p w14:paraId="02739A26" w14:textId="77777777" w:rsidR="00817DB5" w:rsidRDefault="00817DB5">
      <w:pPr>
        <w:spacing w:line="360" w:lineRule="auto"/>
        <w:rPr>
          <w:rFonts w:ascii="ˎ̥" w:hAnsi="ˎ̥" w:hint="eastAsia"/>
          <w:sz w:val="24"/>
        </w:rPr>
      </w:pPr>
    </w:p>
    <w:p w14:paraId="27ED5CFA" w14:textId="77777777" w:rsidR="00817DB5" w:rsidRDefault="00817DB5">
      <w:pPr>
        <w:spacing w:line="360" w:lineRule="auto"/>
        <w:rPr>
          <w:rFonts w:ascii="ˎ̥" w:hAnsi="ˎ̥" w:hint="eastAsia"/>
          <w:b/>
          <w:bCs/>
          <w:sz w:val="24"/>
        </w:rPr>
      </w:pPr>
    </w:p>
    <w:sectPr w:rsidR="00817DB5" w:rsidSect="00C22B6B">
      <w:footerReference w:type="default" r:id="rId7"/>
      <w:pgSz w:w="11906" w:h="16838"/>
      <w:pgMar w:top="2155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451FB" w14:textId="77777777" w:rsidR="00F210A5" w:rsidRDefault="00F210A5">
      <w:r>
        <w:separator/>
      </w:r>
    </w:p>
  </w:endnote>
  <w:endnote w:type="continuationSeparator" w:id="0">
    <w:p w14:paraId="5F050732" w14:textId="77777777" w:rsidR="00F210A5" w:rsidRDefault="00F2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Segoe Print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B6FC5" w14:textId="4761D713" w:rsidR="00817DB5" w:rsidRDefault="00BF37A1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 w:rsidR="00974978">
      <w:rPr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14:paraId="7F3BA2D1" w14:textId="77777777" w:rsidR="00817DB5" w:rsidRDefault="00817DB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1D5AB" w14:textId="77777777" w:rsidR="00F210A5" w:rsidRDefault="00F210A5">
      <w:r>
        <w:separator/>
      </w:r>
    </w:p>
  </w:footnote>
  <w:footnote w:type="continuationSeparator" w:id="0">
    <w:p w14:paraId="2A4A0B84" w14:textId="77777777" w:rsidR="00F210A5" w:rsidRDefault="00F21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0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ViMDU0Mjg1NTI0OTViM2MxZDViZjVjYzJiYzU3MjcifQ=="/>
  </w:docVars>
  <w:rsids>
    <w:rsidRoot w:val="00980DE8"/>
    <w:rsid w:val="00001861"/>
    <w:rsid w:val="000208E3"/>
    <w:rsid w:val="0002126A"/>
    <w:rsid w:val="00032CF4"/>
    <w:rsid w:val="0005255F"/>
    <w:rsid w:val="00061660"/>
    <w:rsid w:val="00070BFA"/>
    <w:rsid w:val="000728F6"/>
    <w:rsid w:val="0007429B"/>
    <w:rsid w:val="0008479A"/>
    <w:rsid w:val="000B43B9"/>
    <w:rsid w:val="000D6CCE"/>
    <w:rsid w:val="000D73E0"/>
    <w:rsid w:val="000E1F03"/>
    <w:rsid w:val="00105C89"/>
    <w:rsid w:val="001160C7"/>
    <w:rsid w:val="001450A1"/>
    <w:rsid w:val="00150329"/>
    <w:rsid w:val="001660B1"/>
    <w:rsid w:val="00173871"/>
    <w:rsid w:val="00174CEF"/>
    <w:rsid w:val="001813CB"/>
    <w:rsid w:val="001E1E7F"/>
    <w:rsid w:val="001E58FB"/>
    <w:rsid w:val="00202422"/>
    <w:rsid w:val="00217103"/>
    <w:rsid w:val="002510F0"/>
    <w:rsid w:val="00271055"/>
    <w:rsid w:val="00272BC9"/>
    <w:rsid w:val="00273B91"/>
    <w:rsid w:val="00273FFA"/>
    <w:rsid w:val="00285CED"/>
    <w:rsid w:val="002B29A3"/>
    <w:rsid w:val="002B4AA9"/>
    <w:rsid w:val="002C469E"/>
    <w:rsid w:val="002D6BD4"/>
    <w:rsid w:val="002D7505"/>
    <w:rsid w:val="002D7FBD"/>
    <w:rsid w:val="002E10E1"/>
    <w:rsid w:val="002E36F1"/>
    <w:rsid w:val="002E57E9"/>
    <w:rsid w:val="002F550A"/>
    <w:rsid w:val="00302F5A"/>
    <w:rsid w:val="00303D72"/>
    <w:rsid w:val="00312ACB"/>
    <w:rsid w:val="00314089"/>
    <w:rsid w:val="0031494D"/>
    <w:rsid w:val="00337B5F"/>
    <w:rsid w:val="0034030C"/>
    <w:rsid w:val="00346164"/>
    <w:rsid w:val="00347ACC"/>
    <w:rsid w:val="00360AFD"/>
    <w:rsid w:val="00392594"/>
    <w:rsid w:val="0039365D"/>
    <w:rsid w:val="003A4685"/>
    <w:rsid w:val="003B3DAD"/>
    <w:rsid w:val="003C1A20"/>
    <w:rsid w:val="003E39C9"/>
    <w:rsid w:val="003E6E5B"/>
    <w:rsid w:val="003F2E83"/>
    <w:rsid w:val="004005BB"/>
    <w:rsid w:val="00411A6A"/>
    <w:rsid w:val="0041454F"/>
    <w:rsid w:val="00421E4E"/>
    <w:rsid w:val="00424ECB"/>
    <w:rsid w:val="00430DA3"/>
    <w:rsid w:val="00430FCF"/>
    <w:rsid w:val="004346F3"/>
    <w:rsid w:val="00443428"/>
    <w:rsid w:val="004459B0"/>
    <w:rsid w:val="00473EA1"/>
    <w:rsid w:val="00474CBE"/>
    <w:rsid w:val="00495AAE"/>
    <w:rsid w:val="00515161"/>
    <w:rsid w:val="005206FD"/>
    <w:rsid w:val="00537325"/>
    <w:rsid w:val="00542B7E"/>
    <w:rsid w:val="00562890"/>
    <w:rsid w:val="00562E03"/>
    <w:rsid w:val="00565F6C"/>
    <w:rsid w:val="0057211D"/>
    <w:rsid w:val="0057253E"/>
    <w:rsid w:val="00574390"/>
    <w:rsid w:val="00581721"/>
    <w:rsid w:val="005B122E"/>
    <w:rsid w:val="005B488A"/>
    <w:rsid w:val="005C399E"/>
    <w:rsid w:val="005D0EB2"/>
    <w:rsid w:val="005D117B"/>
    <w:rsid w:val="005E0D42"/>
    <w:rsid w:val="005F5157"/>
    <w:rsid w:val="005F7129"/>
    <w:rsid w:val="00604AFC"/>
    <w:rsid w:val="0061688A"/>
    <w:rsid w:val="00642B73"/>
    <w:rsid w:val="00650079"/>
    <w:rsid w:val="006509DB"/>
    <w:rsid w:val="00680894"/>
    <w:rsid w:val="00681F6D"/>
    <w:rsid w:val="006A071A"/>
    <w:rsid w:val="006B3745"/>
    <w:rsid w:val="006C444D"/>
    <w:rsid w:val="006D063E"/>
    <w:rsid w:val="006D3EA6"/>
    <w:rsid w:val="006E0B09"/>
    <w:rsid w:val="006E48A1"/>
    <w:rsid w:val="00726EE5"/>
    <w:rsid w:val="007402C8"/>
    <w:rsid w:val="00740D25"/>
    <w:rsid w:val="00742D79"/>
    <w:rsid w:val="00751C0A"/>
    <w:rsid w:val="00751D05"/>
    <w:rsid w:val="00781FFB"/>
    <w:rsid w:val="007A4E23"/>
    <w:rsid w:val="007A6914"/>
    <w:rsid w:val="007B10D5"/>
    <w:rsid w:val="007E25AA"/>
    <w:rsid w:val="00812C57"/>
    <w:rsid w:val="00814CC4"/>
    <w:rsid w:val="008178EF"/>
    <w:rsid w:val="00817DB5"/>
    <w:rsid w:val="008201C3"/>
    <w:rsid w:val="00823F0F"/>
    <w:rsid w:val="00830102"/>
    <w:rsid w:val="00850740"/>
    <w:rsid w:val="00851B3B"/>
    <w:rsid w:val="008574A7"/>
    <w:rsid w:val="0086158C"/>
    <w:rsid w:val="00863C42"/>
    <w:rsid w:val="00870D79"/>
    <w:rsid w:val="00871FEB"/>
    <w:rsid w:val="00885348"/>
    <w:rsid w:val="00892D17"/>
    <w:rsid w:val="0089546E"/>
    <w:rsid w:val="008979A0"/>
    <w:rsid w:val="008B5DEA"/>
    <w:rsid w:val="008C41A5"/>
    <w:rsid w:val="008C4329"/>
    <w:rsid w:val="008C6816"/>
    <w:rsid w:val="008D04A0"/>
    <w:rsid w:val="008D3A19"/>
    <w:rsid w:val="008D573E"/>
    <w:rsid w:val="008F18F2"/>
    <w:rsid w:val="00927F6E"/>
    <w:rsid w:val="00936E54"/>
    <w:rsid w:val="00940758"/>
    <w:rsid w:val="00941E88"/>
    <w:rsid w:val="009562D3"/>
    <w:rsid w:val="00964505"/>
    <w:rsid w:val="009708FD"/>
    <w:rsid w:val="00974978"/>
    <w:rsid w:val="00980974"/>
    <w:rsid w:val="00980DE8"/>
    <w:rsid w:val="00981D65"/>
    <w:rsid w:val="009837B1"/>
    <w:rsid w:val="00984D26"/>
    <w:rsid w:val="00987283"/>
    <w:rsid w:val="009924CA"/>
    <w:rsid w:val="00992E44"/>
    <w:rsid w:val="009940ED"/>
    <w:rsid w:val="009A3813"/>
    <w:rsid w:val="009B5890"/>
    <w:rsid w:val="009C3EA6"/>
    <w:rsid w:val="009D207E"/>
    <w:rsid w:val="009D212C"/>
    <w:rsid w:val="009D47E0"/>
    <w:rsid w:val="009D4BCB"/>
    <w:rsid w:val="009F21D9"/>
    <w:rsid w:val="009F2F38"/>
    <w:rsid w:val="009F7470"/>
    <w:rsid w:val="00A057FD"/>
    <w:rsid w:val="00A232F6"/>
    <w:rsid w:val="00A23EA0"/>
    <w:rsid w:val="00A34DD3"/>
    <w:rsid w:val="00A35EE5"/>
    <w:rsid w:val="00A41092"/>
    <w:rsid w:val="00A51F38"/>
    <w:rsid w:val="00A76EBB"/>
    <w:rsid w:val="00A804A9"/>
    <w:rsid w:val="00AB6BB9"/>
    <w:rsid w:val="00AC03D7"/>
    <w:rsid w:val="00AC7590"/>
    <w:rsid w:val="00AD3FDE"/>
    <w:rsid w:val="00AE2711"/>
    <w:rsid w:val="00AE5930"/>
    <w:rsid w:val="00AE67F3"/>
    <w:rsid w:val="00B000E3"/>
    <w:rsid w:val="00B17F48"/>
    <w:rsid w:val="00B2023B"/>
    <w:rsid w:val="00B269A8"/>
    <w:rsid w:val="00B4289F"/>
    <w:rsid w:val="00B75DAF"/>
    <w:rsid w:val="00B76826"/>
    <w:rsid w:val="00B90146"/>
    <w:rsid w:val="00B90C34"/>
    <w:rsid w:val="00B97BFF"/>
    <w:rsid w:val="00BD18A5"/>
    <w:rsid w:val="00BF37A1"/>
    <w:rsid w:val="00C13CE3"/>
    <w:rsid w:val="00C17988"/>
    <w:rsid w:val="00C22B6B"/>
    <w:rsid w:val="00C2400D"/>
    <w:rsid w:val="00C254C5"/>
    <w:rsid w:val="00C30ED3"/>
    <w:rsid w:val="00C425F5"/>
    <w:rsid w:val="00C4695F"/>
    <w:rsid w:val="00C4719B"/>
    <w:rsid w:val="00C60094"/>
    <w:rsid w:val="00C84279"/>
    <w:rsid w:val="00C9073A"/>
    <w:rsid w:val="00CA13B4"/>
    <w:rsid w:val="00CA2557"/>
    <w:rsid w:val="00CC4154"/>
    <w:rsid w:val="00CD6200"/>
    <w:rsid w:val="00CE15B7"/>
    <w:rsid w:val="00CF1900"/>
    <w:rsid w:val="00CF2DD5"/>
    <w:rsid w:val="00CF308A"/>
    <w:rsid w:val="00D1523C"/>
    <w:rsid w:val="00D21D3A"/>
    <w:rsid w:val="00D229FE"/>
    <w:rsid w:val="00D24911"/>
    <w:rsid w:val="00D34868"/>
    <w:rsid w:val="00D35119"/>
    <w:rsid w:val="00D37451"/>
    <w:rsid w:val="00D42424"/>
    <w:rsid w:val="00D51338"/>
    <w:rsid w:val="00D520AE"/>
    <w:rsid w:val="00D73BA8"/>
    <w:rsid w:val="00DA280E"/>
    <w:rsid w:val="00DA328D"/>
    <w:rsid w:val="00DA758F"/>
    <w:rsid w:val="00DC13F5"/>
    <w:rsid w:val="00DC453A"/>
    <w:rsid w:val="00DC780F"/>
    <w:rsid w:val="00DD41EA"/>
    <w:rsid w:val="00DD6C6E"/>
    <w:rsid w:val="00DE2928"/>
    <w:rsid w:val="00DE6226"/>
    <w:rsid w:val="00DF5EE4"/>
    <w:rsid w:val="00E05137"/>
    <w:rsid w:val="00E107DB"/>
    <w:rsid w:val="00E1240A"/>
    <w:rsid w:val="00E12986"/>
    <w:rsid w:val="00E15D27"/>
    <w:rsid w:val="00E17FEA"/>
    <w:rsid w:val="00E339DA"/>
    <w:rsid w:val="00E44777"/>
    <w:rsid w:val="00E559E5"/>
    <w:rsid w:val="00E60403"/>
    <w:rsid w:val="00E753BB"/>
    <w:rsid w:val="00E80A69"/>
    <w:rsid w:val="00E8340F"/>
    <w:rsid w:val="00E85BEA"/>
    <w:rsid w:val="00EA48EC"/>
    <w:rsid w:val="00EB4492"/>
    <w:rsid w:val="00EB45FD"/>
    <w:rsid w:val="00ED0DB7"/>
    <w:rsid w:val="00ED6B4C"/>
    <w:rsid w:val="00ED6DC6"/>
    <w:rsid w:val="00EE7371"/>
    <w:rsid w:val="00F1163C"/>
    <w:rsid w:val="00F12C26"/>
    <w:rsid w:val="00F169C4"/>
    <w:rsid w:val="00F20DE0"/>
    <w:rsid w:val="00F210A5"/>
    <w:rsid w:val="00F34553"/>
    <w:rsid w:val="00F374AF"/>
    <w:rsid w:val="00F74128"/>
    <w:rsid w:val="00FA3A20"/>
    <w:rsid w:val="00FB6BC8"/>
    <w:rsid w:val="00FC2281"/>
    <w:rsid w:val="00FC2C95"/>
    <w:rsid w:val="115F3748"/>
    <w:rsid w:val="13BF624E"/>
    <w:rsid w:val="1C912F6E"/>
    <w:rsid w:val="1EE660B3"/>
    <w:rsid w:val="2F441FAD"/>
    <w:rsid w:val="406F1DFD"/>
    <w:rsid w:val="41DC660B"/>
    <w:rsid w:val="4A0958BC"/>
    <w:rsid w:val="500C74A0"/>
    <w:rsid w:val="54E4699B"/>
    <w:rsid w:val="5FC6276D"/>
    <w:rsid w:val="726C3A5C"/>
    <w:rsid w:val="76D9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6A4A2"/>
  <w15:docId w15:val="{5C984C88-2267-4B01-AF17-8A15E7CC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next w:val="3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1"/>
    <w:next w:val="a1"/>
    <w:uiPriority w:val="9"/>
    <w:semiHidden/>
    <w:unhideWhenUsed/>
    <w:qFormat/>
    <w:pPr>
      <w:spacing w:line="14" w:lineRule="atLeast"/>
      <w:jc w:val="left"/>
      <w:outlineLvl w:val="1"/>
    </w:pPr>
    <w:rPr>
      <w:rFonts w:ascii="宋体" w:hAnsi="宋体" w:hint="eastAsia"/>
      <w:kern w:val="0"/>
      <w:sz w:val="24"/>
      <w:szCs w:val="24"/>
    </w:rPr>
  </w:style>
  <w:style w:type="paragraph" w:styleId="3">
    <w:name w:val="heading 3"/>
    <w:basedOn w:val="a1"/>
    <w:next w:val="a1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1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1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1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1"/>
    <w:uiPriority w:val="99"/>
    <w:semiHidden/>
    <w:unhideWhenUsed/>
    <w:qFormat/>
    <w:pPr>
      <w:jc w:val="left"/>
    </w:pPr>
    <w:rPr>
      <w:kern w:val="0"/>
      <w:sz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2"/>
    <w:uiPriority w:val="22"/>
    <w:qFormat/>
    <w:rPr>
      <w:b/>
      <w:bCs/>
      <w:shd w:val="clear" w:color="auto" w:fill="007AFF"/>
    </w:rPr>
  </w:style>
  <w:style w:type="character" w:styleId="af1">
    <w:name w:val="FollowedHyperlink"/>
    <w:basedOn w:val="a2"/>
    <w:uiPriority w:val="99"/>
    <w:semiHidden/>
    <w:unhideWhenUsed/>
    <w:qFormat/>
    <w:rPr>
      <w:color w:val="333333"/>
      <w:u w:val="none"/>
    </w:rPr>
  </w:style>
  <w:style w:type="character" w:styleId="af2">
    <w:name w:val="Hyperlink"/>
    <w:basedOn w:val="a2"/>
    <w:uiPriority w:val="99"/>
    <w:semiHidden/>
    <w:unhideWhenUsed/>
    <w:qFormat/>
    <w:rPr>
      <w:color w:val="333333"/>
      <w:u w:val="none"/>
    </w:rPr>
  </w:style>
  <w:style w:type="character" w:styleId="HTML">
    <w:name w:val="HTML Code"/>
    <w:basedOn w:val="a2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af3">
    <w:name w:val="annotation reference"/>
    <w:basedOn w:val="a2"/>
    <w:uiPriority w:val="99"/>
    <w:semiHidden/>
    <w:unhideWhenUsed/>
    <w:qFormat/>
    <w:rPr>
      <w:sz w:val="21"/>
      <w:szCs w:val="21"/>
    </w:rPr>
  </w:style>
  <w:style w:type="character" w:styleId="HTML0">
    <w:name w:val="HTML Keyboard"/>
    <w:basedOn w:val="a2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1">
    <w:name w:val="HTML Sample"/>
    <w:basedOn w:val="a2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customStyle="1" w:styleId="30">
    <w:name w:val="标题 3 字符"/>
    <w:basedOn w:val="a2"/>
    <w:link w:val="3"/>
    <w:uiPriority w:val="9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c">
    <w:name w:val="页眉 字符"/>
    <w:basedOn w:val="a2"/>
    <w:link w:val="ab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脚 字符"/>
    <w:basedOn w:val="a2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af4">
    <w:name w:val="段"/>
    <w:link w:val="Char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Char">
    <w:name w:val="段 Char"/>
    <w:link w:val="af4"/>
    <w:qFormat/>
    <w:rPr>
      <w:rFonts w:ascii="宋体" w:eastAsia="宋体" w:hAnsi="Times New Roman" w:cs="Times New Roman"/>
      <w:kern w:val="0"/>
      <w:szCs w:val="20"/>
    </w:rPr>
  </w:style>
  <w:style w:type="paragraph" w:customStyle="1" w:styleId="af5">
    <w:name w:val="文章正文"/>
    <w:basedOn w:val="a1"/>
    <w:link w:val="Char0"/>
    <w:qFormat/>
    <w:pPr>
      <w:ind w:firstLineChars="200" w:firstLine="560"/>
    </w:pPr>
    <w:rPr>
      <w:rFonts w:ascii="宋体" w:hAnsi="宋体"/>
      <w:color w:val="000000"/>
      <w:kern w:val="28"/>
      <w:sz w:val="28"/>
      <w:szCs w:val="28"/>
      <w:lang w:val="zh-CN"/>
    </w:rPr>
  </w:style>
  <w:style w:type="character" w:customStyle="1" w:styleId="Char0">
    <w:name w:val="文章正文 Char"/>
    <w:link w:val="af5"/>
    <w:qFormat/>
    <w:rPr>
      <w:rFonts w:ascii="宋体" w:eastAsia="宋体" w:hAnsi="宋体" w:cs="Times New Roman"/>
      <w:color w:val="000000"/>
      <w:kern w:val="28"/>
      <w:sz w:val="28"/>
      <w:szCs w:val="28"/>
      <w:lang w:val="zh-CN" w:eastAsia="zh-CN"/>
    </w:rPr>
  </w:style>
  <w:style w:type="character" w:customStyle="1" w:styleId="a8">
    <w:name w:val="批注框文本 字符"/>
    <w:basedOn w:val="a2"/>
    <w:link w:val="a7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a6">
    <w:name w:val="批注文字 字符"/>
    <w:basedOn w:val="a2"/>
    <w:link w:val="a5"/>
    <w:uiPriority w:val="99"/>
    <w:semiHidden/>
    <w:qFormat/>
    <w:rPr>
      <w:rFonts w:ascii="Calibri" w:eastAsia="宋体" w:hAnsi="Calibri" w:cs="Times New Roman"/>
    </w:rPr>
  </w:style>
  <w:style w:type="character" w:customStyle="1" w:styleId="af">
    <w:name w:val="批注主题 字符"/>
    <w:basedOn w:val="a6"/>
    <w:link w:val="ae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layui-laypage-curr">
    <w:name w:val="layui-laypage-curr"/>
    <w:basedOn w:val="a2"/>
    <w:qFormat/>
  </w:style>
  <w:style w:type="character" w:customStyle="1" w:styleId="nth-of-type1">
    <w:name w:val="nth-of-type(1)"/>
    <w:basedOn w:val="a2"/>
    <w:qFormat/>
  </w:style>
  <w:style w:type="character" w:customStyle="1" w:styleId="nth-of-type11">
    <w:name w:val="nth-of-type(1)1"/>
    <w:basedOn w:val="a2"/>
    <w:qFormat/>
  </w:style>
  <w:style w:type="paragraph" w:customStyle="1" w:styleId="a0">
    <w:name w:val="标准文件_三级条标题"/>
    <w:basedOn w:val="a"/>
    <w:next w:val="af6"/>
    <w:uiPriority w:val="99"/>
    <w:qFormat/>
    <w:pPr>
      <w:widowControl/>
      <w:numPr>
        <w:ilvl w:val="4"/>
      </w:numPr>
      <w:outlineLvl w:val="3"/>
    </w:pPr>
  </w:style>
  <w:style w:type="paragraph" w:customStyle="1" w:styleId="a">
    <w:name w:val="标准文件_二级条标题"/>
    <w:next w:val="af6"/>
    <w:uiPriority w:val="99"/>
    <w:qFormat/>
    <w:pPr>
      <w:widowControl w:val="0"/>
      <w:numPr>
        <w:ilvl w:val="3"/>
        <w:numId w:val="1"/>
      </w:numPr>
      <w:jc w:val="both"/>
      <w:outlineLvl w:val="2"/>
    </w:pPr>
    <w:rPr>
      <w:rFonts w:ascii="黑体" w:eastAsia="黑体" w:cs="黑体"/>
      <w:sz w:val="21"/>
      <w:szCs w:val="21"/>
    </w:rPr>
  </w:style>
  <w:style w:type="paragraph" w:customStyle="1" w:styleId="af6">
    <w:name w:val="标准文件_段"/>
    <w:uiPriority w:val="99"/>
    <w:qFormat/>
    <w:pPr>
      <w:widowControl w:val="0"/>
      <w:ind w:firstLineChars="200" w:firstLine="198"/>
      <w:jc w:val="both"/>
    </w:pPr>
    <w:rPr>
      <w:rFonts w:ascii="宋体" w:hAnsi="宋体" w:cs="宋体"/>
      <w:kern w:val="2"/>
      <w:sz w:val="21"/>
      <w:szCs w:val="21"/>
    </w:rPr>
  </w:style>
  <w:style w:type="paragraph" w:customStyle="1" w:styleId="af7">
    <w:name w:val="二级条标题"/>
    <w:basedOn w:val="a"/>
    <w:next w:val="af4"/>
    <w:qFormat/>
    <w:pPr>
      <w:spacing w:beforeLines="50" w:before="50" w:afterLines="50" w:after="50"/>
    </w:pPr>
    <w:rPr>
      <w:rFonts w:ascii="Times New Roman"/>
    </w:rPr>
  </w:style>
  <w:style w:type="character" w:customStyle="1" w:styleId="af8">
    <w:name w:val="段 字符"/>
    <w:basedOn w:val="a2"/>
    <w:autoRedefine/>
    <w:qFormat/>
    <w:rsid w:val="00D229FE"/>
    <w:rPr>
      <w:rFonts w:ascii="Times New Roman" w:eastAsia="宋体" w:hAnsi="Times New Roman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zhengyanfeng</dc:creator>
  <cp:lastModifiedBy>综合部</cp:lastModifiedBy>
  <cp:revision>78</cp:revision>
  <cp:lastPrinted>2024-06-19T02:53:00Z</cp:lastPrinted>
  <dcterms:created xsi:type="dcterms:W3CDTF">2023-05-16T01:04:00Z</dcterms:created>
  <dcterms:modified xsi:type="dcterms:W3CDTF">2024-06-19T02:57:00Z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D0FA5534D7F24DCCAFFA4D514D4FE452_13</vt:lpwstr>
  </property>
</Properties>
</file>