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54AC" w14:textId="0C4DC22A" w:rsidR="008C35AB" w:rsidRPr="008C35AB" w:rsidRDefault="008C35AB" w:rsidP="008C35AB">
      <w:pPr>
        <w:pStyle w:val="3"/>
        <w:spacing w:before="0" w:after="0" w:line="560" w:lineRule="exact"/>
        <w:jc w:val="left"/>
        <w:rPr>
          <w:rFonts w:ascii="黑体" w:eastAsia="黑体" w:hAnsi="黑体" w:cstheme="minorBidi"/>
          <w:b w:val="0"/>
          <w:bCs w:val="0"/>
          <w:w w:val="95"/>
        </w:rPr>
      </w:pPr>
      <w:bookmarkStart w:id="0" w:name="_Toc421543628"/>
      <w:bookmarkStart w:id="1" w:name="_Toc384593522"/>
      <w:r w:rsidRPr="008C35AB">
        <w:rPr>
          <w:rFonts w:ascii="黑体" w:eastAsia="黑体" w:hAnsi="黑体" w:cstheme="minorBidi" w:hint="eastAsia"/>
          <w:b w:val="0"/>
          <w:bCs w:val="0"/>
          <w:w w:val="95"/>
        </w:rPr>
        <w:t>附件1</w:t>
      </w:r>
    </w:p>
    <w:p w14:paraId="6AC151A0" w14:textId="1A8EE2D2" w:rsidR="00354304" w:rsidRPr="007B14EF" w:rsidRDefault="00CA13B4" w:rsidP="008C35AB">
      <w:pPr>
        <w:pStyle w:val="3"/>
        <w:spacing w:before="240" w:after="0" w:line="560" w:lineRule="exact"/>
        <w:jc w:val="center"/>
        <w:rPr>
          <w:rFonts w:ascii="方正小标宋简体" w:eastAsia="方正小标宋简体" w:hAnsi="黑体" w:cstheme="minorBidi"/>
          <w:b w:val="0"/>
          <w:bCs w:val="0"/>
          <w:sz w:val="44"/>
          <w:szCs w:val="44"/>
        </w:rPr>
      </w:pPr>
      <w:r w:rsidRPr="007B14EF">
        <w:rPr>
          <w:rFonts w:ascii="方正小标宋简体" w:eastAsia="方正小标宋简体" w:hAnsi="黑体" w:cstheme="minorBidi" w:hint="eastAsia"/>
          <w:b w:val="0"/>
          <w:bCs w:val="0"/>
          <w:sz w:val="44"/>
          <w:szCs w:val="44"/>
        </w:rPr>
        <w:t>《</w:t>
      </w:r>
      <w:r w:rsidR="00354304" w:rsidRPr="007B14EF">
        <w:rPr>
          <w:rFonts w:ascii="方正小标宋简体" w:eastAsia="方正小标宋简体" w:hAnsi="黑体" w:cstheme="minorBidi" w:hint="eastAsia"/>
          <w:b w:val="0"/>
          <w:bCs w:val="0"/>
          <w:sz w:val="44"/>
          <w:szCs w:val="44"/>
        </w:rPr>
        <w:t>专利申请前评估规范</w:t>
      </w:r>
      <w:r w:rsidRPr="007B14EF">
        <w:rPr>
          <w:rFonts w:ascii="方正小标宋简体" w:eastAsia="方正小标宋简体" w:hAnsi="黑体" w:cstheme="minorBidi" w:hint="eastAsia"/>
          <w:b w:val="0"/>
          <w:bCs w:val="0"/>
          <w:sz w:val="44"/>
          <w:szCs w:val="44"/>
        </w:rPr>
        <w:t>（征求意见稿）》</w:t>
      </w:r>
    </w:p>
    <w:p w14:paraId="4FE00D10" w14:textId="6A521A4C" w:rsidR="00817DB5" w:rsidRPr="007B14EF" w:rsidRDefault="00CA13B4" w:rsidP="00354304">
      <w:pPr>
        <w:pStyle w:val="3"/>
        <w:spacing w:before="0" w:after="0" w:line="560" w:lineRule="exact"/>
        <w:jc w:val="center"/>
        <w:rPr>
          <w:rFonts w:ascii="方正小标宋简体" w:eastAsia="方正小标宋简体" w:hAnsi="黑体" w:cstheme="minorBidi"/>
          <w:b w:val="0"/>
          <w:bCs w:val="0"/>
          <w:sz w:val="44"/>
          <w:szCs w:val="44"/>
        </w:rPr>
      </w:pPr>
      <w:r w:rsidRPr="007B14EF">
        <w:rPr>
          <w:rFonts w:ascii="方正小标宋简体" w:eastAsia="方正小标宋简体" w:hAnsi="黑体" w:cstheme="minorBidi" w:hint="eastAsia"/>
          <w:b w:val="0"/>
          <w:bCs w:val="0"/>
          <w:sz w:val="44"/>
          <w:szCs w:val="44"/>
        </w:rPr>
        <w:t>编制说明</w:t>
      </w:r>
      <w:bookmarkEnd w:id="0"/>
      <w:bookmarkEnd w:id="1"/>
    </w:p>
    <w:p w14:paraId="6161FA60" w14:textId="77777777" w:rsidR="00817DB5" w:rsidRDefault="00BF37A1" w:rsidP="008C35AB">
      <w:pPr>
        <w:spacing w:before="240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一、工作简况</w:t>
      </w:r>
      <w:bookmarkStart w:id="2" w:name="_GoBack"/>
      <w:bookmarkEnd w:id="2"/>
    </w:p>
    <w:p w14:paraId="06CF245F" w14:textId="14FD092F" w:rsidR="00817DB5" w:rsidRDefault="00BF37A1" w:rsidP="008C35AB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1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任务来源</w:t>
      </w:r>
    </w:p>
    <w:p w14:paraId="53B30EC7" w14:textId="2E79A5C8" w:rsidR="00817DB5" w:rsidRDefault="00BF37A1" w:rsidP="008C35AB">
      <w:pPr>
        <w:pStyle w:val="2"/>
        <w:widowControl/>
        <w:spacing w:line="54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本项目由</w:t>
      </w:r>
      <w:r w:rsidR="00354304" w:rsidRPr="00354304">
        <w:rPr>
          <w:rFonts w:ascii="仿宋_GB2312" w:eastAsia="仿宋_GB2312" w:hAnsi="仿宋_GB2312" w:cs="仿宋_GB2312"/>
          <w:sz w:val="32"/>
          <w:szCs w:val="32"/>
        </w:rPr>
        <w:t>国家管网集团北方管道有限责任公司</w:t>
      </w:r>
      <w:r>
        <w:rPr>
          <w:rFonts w:ascii="仿宋_GB2312" w:eastAsia="仿宋_GB2312" w:hAnsi="仿宋_GB2312" w:cs="仿宋_GB2312"/>
          <w:sz w:val="32"/>
          <w:szCs w:val="32"/>
        </w:rPr>
        <w:t>提出。中国知识产权研究会</w:t>
      </w:r>
      <w:r w:rsidR="00CA13B4">
        <w:rPr>
          <w:rFonts w:ascii="仿宋_GB2312" w:eastAsia="仿宋_GB2312" w:hAnsi="仿宋_GB2312" w:cs="仿宋_GB2312"/>
          <w:sz w:val="32"/>
          <w:szCs w:val="32"/>
        </w:rPr>
        <w:t>审定</w:t>
      </w:r>
      <w:r>
        <w:rPr>
          <w:rFonts w:ascii="仿宋_GB2312" w:eastAsia="仿宋_GB2312" w:hAnsi="仿宋_GB2312" w:cs="仿宋_GB2312"/>
          <w:sz w:val="32"/>
          <w:szCs w:val="32"/>
        </w:rPr>
        <w:t>同意《</w:t>
      </w:r>
      <w:r w:rsidR="00354304" w:rsidRPr="00354304">
        <w:rPr>
          <w:rFonts w:ascii="仿宋_GB2312" w:eastAsia="仿宋_GB2312" w:hAnsi="仿宋_GB2312" w:cs="仿宋_GB2312"/>
          <w:sz w:val="32"/>
          <w:szCs w:val="32"/>
        </w:rPr>
        <w:t>专利申请前评估规范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 w:rsidR="00CA13B4">
        <w:rPr>
          <w:rFonts w:ascii="仿宋_GB2312" w:eastAsia="仿宋_GB2312" w:hAnsi="仿宋_GB2312" w:cs="仿宋_GB2312"/>
          <w:sz w:val="32"/>
          <w:szCs w:val="32"/>
        </w:rPr>
        <w:t>通过</w:t>
      </w:r>
      <w:r>
        <w:rPr>
          <w:rFonts w:ascii="仿宋_GB2312" w:eastAsia="仿宋_GB2312" w:hAnsi="仿宋_GB2312" w:cs="仿宋_GB2312"/>
          <w:sz w:val="32"/>
          <w:szCs w:val="32"/>
        </w:rPr>
        <w:t>立项</w:t>
      </w:r>
      <w:r w:rsidR="00CA13B4">
        <w:rPr>
          <w:rFonts w:ascii="仿宋_GB2312" w:eastAsia="仿宋_GB2312" w:hAnsi="仿宋_GB2312" w:cs="仿宋_GB2312"/>
          <w:sz w:val="32"/>
          <w:szCs w:val="32"/>
        </w:rPr>
        <w:t>论证，准予立项</w:t>
      </w:r>
      <w:r>
        <w:rPr>
          <w:rFonts w:ascii="仿宋_GB2312" w:eastAsia="仿宋_GB2312" w:hAnsi="仿宋_GB2312" w:cs="仿宋_GB2312"/>
          <w:sz w:val="32"/>
          <w:szCs w:val="32"/>
        </w:rPr>
        <w:t>（中知研发〔202</w:t>
      </w:r>
      <w:r w:rsidR="00354304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〕</w:t>
      </w:r>
      <w:r w:rsidR="00354304">
        <w:rPr>
          <w:rFonts w:ascii="仿宋_GB2312" w:eastAsia="仿宋_GB2312" w:hAnsi="仿宋_GB2312" w:cs="仿宋_GB2312"/>
          <w:sz w:val="32"/>
          <w:szCs w:val="32"/>
        </w:rPr>
        <w:t>94</w:t>
      </w:r>
      <w:r>
        <w:rPr>
          <w:rFonts w:ascii="仿宋_GB2312" w:eastAsia="仿宋_GB2312" w:hAnsi="仿宋_GB2312" w:cs="仿宋_GB2312"/>
          <w:sz w:val="32"/>
          <w:szCs w:val="32"/>
        </w:rPr>
        <w:t>号），计划完成时间为202</w:t>
      </w:r>
      <w:r w:rsidR="00CA13B4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年。</w:t>
      </w:r>
    </w:p>
    <w:p w14:paraId="174ABFF6" w14:textId="6AE2C119" w:rsidR="00817DB5" w:rsidRDefault="00BF37A1" w:rsidP="008C35AB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2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主要工作过程</w:t>
      </w:r>
    </w:p>
    <w:p w14:paraId="7083702A" w14:textId="6E9A1E09" w:rsidR="00CA13B4" w:rsidRPr="00CA13B4" w:rsidRDefault="00CA13B4" w:rsidP="008C35AB">
      <w:pPr>
        <w:spacing w:line="54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启动阶段: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1435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5430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月，</w:t>
      </w:r>
      <w:bookmarkStart w:id="3" w:name="_Hlk165851070"/>
      <w:r w:rsidR="00CD6200" w:rsidRPr="00CD6200">
        <w:rPr>
          <w:rFonts w:ascii="仿宋_GB2312" w:eastAsia="仿宋_GB2312" w:hAnsi="仿宋_GB2312" w:cs="仿宋_GB2312" w:hint="eastAsia"/>
          <w:sz w:val="32"/>
          <w:szCs w:val="32"/>
        </w:rPr>
        <w:t>组织召开《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专利申请前评估规范</w:t>
      </w:r>
      <w:r w:rsidR="00CD6200" w:rsidRPr="00CD6200">
        <w:rPr>
          <w:rFonts w:ascii="仿宋_GB2312" w:eastAsia="仿宋_GB2312" w:hAnsi="仿宋_GB2312" w:cs="仿宋_GB2312" w:hint="eastAsia"/>
          <w:sz w:val="32"/>
          <w:szCs w:val="32"/>
        </w:rPr>
        <w:t>》团体标准编制启动会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End w:id="3"/>
      <w:r w:rsidRPr="00CA13B4">
        <w:rPr>
          <w:rFonts w:ascii="仿宋_GB2312" w:eastAsia="仿宋_GB2312" w:hAnsi="仿宋_GB2312" w:cs="仿宋_GB2312" w:hint="eastAsia"/>
          <w:sz w:val="32"/>
          <w:szCs w:val="32"/>
        </w:rPr>
        <w:t>会议介绍了团体标准起草工作背景及相关情况，明确了标准编制的工作机制、工作目标及进度安排，确立了贴合实际需求的工作导向。</w:t>
      </w:r>
    </w:p>
    <w:p w14:paraId="29B307C7" w14:textId="0E62DCC9" w:rsidR="00817DB5" w:rsidRDefault="00BF37A1" w:rsidP="008C35AB">
      <w:pPr>
        <w:spacing w:line="54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起草阶段：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14356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年3月，按照</w:t>
      </w:r>
      <w:bookmarkStart w:id="4" w:name="OLE_LINK11"/>
      <w:bookmarkStart w:id="5" w:name="OLE_LINK12"/>
      <w:r>
        <w:rPr>
          <w:rFonts w:ascii="仿宋_GB2312" w:eastAsia="仿宋_GB2312" w:hAnsi="仿宋_GB2312" w:cs="仿宋_GB2312" w:hint="eastAsia"/>
          <w:sz w:val="32"/>
          <w:szCs w:val="32"/>
        </w:rPr>
        <w:t>中国知识产权研究会</w:t>
      </w:r>
      <w:bookmarkEnd w:id="4"/>
      <w:bookmarkEnd w:id="5"/>
      <w:r w:rsidR="00CA13B4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要求，成立了以xxx等为组员的标准起草工作组。</w:t>
      </w:r>
    </w:p>
    <w:p w14:paraId="543E14BD" w14:textId="407CFD41" w:rsidR="00817DB5" w:rsidRDefault="00CA13B4" w:rsidP="008C35AB">
      <w:pPr>
        <w:spacing w:line="54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sz w:val="32"/>
          <w:szCs w:val="32"/>
        </w:rPr>
        <w:t>编撰该团体标准期间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，工作组对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方法进行总结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，并进行了大量的资料查证和研究分析工作，针对标准草案框架及内容开展多次研讨，在此基础上编制出《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专利申请前评估规范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》标准草案初稿，对标准草案初稿进行了认真的修改后，于2024年x月xx日形成了标准征求意见稿后，报中国知识产权研究会秘书处。</w:t>
      </w:r>
    </w:p>
    <w:p w14:paraId="6CAE8062" w14:textId="575BEF8C" w:rsidR="00817DB5" w:rsidRDefault="00BF37A1">
      <w:pPr>
        <w:spacing w:line="56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征求意见阶段：</w:t>
      </w:r>
      <w:bookmarkStart w:id="6" w:name="OLE_LINK708"/>
      <w:bookmarkStart w:id="7" w:name="OLE_LINK707"/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CA13B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-10月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6"/>
      <w:bookmarkEnd w:id="7"/>
    </w:p>
    <w:p w14:paraId="7D8014C0" w14:textId="16EC7C6C" w:rsidR="00817DB5" w:rsidRDefault="00BF37A1" w:rsidP="00C22B6B">
      <w:pPr>
        <w:spacing w:line="58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审查阶段：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34616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月-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14:paraId="35A91258" w14:textId="7776EC39" w:rsidR="00817DB5" w:rsidRDefault="00BF37A1" w:rsidP="00C22B6B">
      <w:pPr>
        <w:spacing w:line="580" w:lineRule="exact"/>
        <w:ind w:leftChars="1" w:left="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报批阶段：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预计202</w:t>
      </w:r>
      <w:r w:rsidR="0034616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14:paraId="323198E7" w14:textId="12B23125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3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主要参加单位和工作组成员及其所作的工作等</w:t>
      </w:r>
    </w:p>
    <w:p w14:paraId="33C3B514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本标准由xxx等单位共同负责起草。</w:t>
      </w:r>
    </w:p>
    <w:p w14:paraId="76068DF7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主要成员：xxx。</w:t>
      </w:r>
    </w:p>
    <w:p w14:paraId="7481246E" w14:textId="77777777" w:rsidR="00817DB5" w:rsidRDefault="00BF37A1" w:rsidP="00C22B6B">
      <w:pPr>
        <w:spacing w:line="580" w:lineRule="exact"/>
        <w:ind w:leftChars="1" w:left="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所做的工作：xxx为本标准主要执笔人，负责本标准的起草、编写。</w:t>
      </w:r>
    </w:p>
    <w:p w14:paraId="195F78CA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二、标准编制原则和主要内容</w:t>
      </w:r>
    </w:p>
    <w:p w14:paraId="7EA9955A" w14:textId="5AC64375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1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标准编制原则</w:t>
      </w:r>
    </w:p>
    <w:p w14:paraId="42EEE1AF" w14:textId="26724A18" w:rsidR="00CA13B4" w:rsidRPr="00AD3FDE" w:rsidRDefault="00AD3FDE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13B4">
        <w:rPr>
          <w:rFonts w:ascii="仿宋_GB2312" w:eastAsia="仿宋_GB2312" w:hAnsi="仿宋_GB2312" w:cs="仿宋_GB2312" w:hint="eastAsia"/>
          <w:sz w:val="32"/>
          <w:szCs w:val="32"/>
        </w:rPr>
        <w:t>本标准的编制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Pr="0052590B">
        <w:rPr>
          <w:rFonts w:ascii="仿宋_GB2312" w:eastAsia="仿宋_GB2312" w:hAnsi="仿宋_GB2312" w:cs="仿宋_GB2312" w:hint="eastAsia"/>
          <w:sz w:val="32"/>
          <w:szCs w:val="32"/>
        </w:rPr>
        <w:t>工作实际需求，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遵循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独立</w:t>
      </w:r>
      <w:r w:rsidR="00354304">
        <w:rPr>
          <w:rFonts w:ascii="仿宋_GB2312" w:eastAsia="仿宋_GB2312" w:hAnsi="仿宋_GB2312" w:cs="仿宋_GB2312" w:hint="eastAsia"/>
          <w:sz w:val="32"/>
          <w:szCs w:val="32"/>
        </w:rPr>
        <w:t>性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客观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性、</w:t>
      </w:r>
      <w:r w:rsidR="00354304" w:rsidRPr="00354304">
        <w:rPr>
          <w:rFonts w:ascii="仿宋_GB2312" w:eastAsia="仿宋_GB2312" w:hAnsi="仿宋_GB2312" w:cs="仿宋_GB2312" w:hint="eastAsia"/>
          <w:sz w:val="32"/>
          <w:szCs w:val="32"/>
        </w:rPr>
        <w:t>公正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性的原则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，满足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统一性、协调性、适用性、一致性和规范性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</w:t>
      </w:r>
      <w:r w:rsidRPr="00CA13B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BCA7BD" w14:textId="77777777" w:rsidR="00CA13B4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本标准编制过程中，</w:t>
      </w:r>
      <w:r w:rsidR="00CA13B4" w:rsidRPr="00CA13B4">
        <w:rPr>
          <w:rFonts w:ascii="仿宋_GB2312" w:eastAsia="仿宋_GB2312" w:hAnsi="仿宋_GB2312" w:cs="仿宋_GB2312" w:hint="eastAsia"/>
          <w:sz w:val="32"/>
          <w:szCs w:val="32"/>
        </w:rPr>
        <w:t>主要按GB/T 1.1－2009《标准化工作导则 第1部分：标准的结构和编写》和GB/T 1.2－2002《标准化工作导则 第2部分：标准中规范性技术要素内容的确定方法》进行编写。本标准编制过程中，主要参考了以下标准或文件：</w:t>
      </w:r>
    </w:p>
    <w:p w14:paraId="3B2353B4" w14:textId="599D5306" w:rsidR="00D229FE" w:rsidRDefault="00D229FE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29FE">
        <w:rPr>
          <w:rFonts w:ascii="仿宋_GB2312" w:eastAsia="仿宋_GB2312" w:hAnsi="仿宋_GB2312" w:cs="仿宋_GB2312" w:hint="eastAsia"/>
          <w:sz w:val="32"/>
          <w:szCs w:val="32"/>
        </w:rPr>
        <w:t>GB/T 21374-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D229FE">
        <w:rPr>
          <w:rFonts w:ascii="仿宋_GB2312" w:eastAsia="仿宋_GB2312" w:hAnsi="仿宋_GB2312" w:cs="仿宋_GB2312" w:hint="eastAsia"/>
          <w:sz w:val="32"/>
          <w:szCs w:val="32"/>
        </w:rPr>
        <w:t>008 知识产权文献与信息 基本词汇</w:t>
      </w:r>
    </w:p>
    <w:p w14:paraId="114A9315" w14:textId="758997C3" w:rsidR="00790BD2" w:rsidRPr="00790BD2" w:rsidRDefault="00790BD2" w:rsidP="00790BD2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90BD2">
        <w:rPr>
          <w:rFonts w:ascii="仿宋_GB2312" w:eastAsia="仿宋_GB2312" w:hAnsi="仿宋_GB2312" w:cs="仿宋_GB2312"/>
          <w:kern w:val="2"/>
          <w:sz w:val="32"/>
          <w:szCs w:val="32"/>
        </w:rPr>
        <w:t>ISO</w:t>
      </w:r>
      <w:r w:rsid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 w:rsidRPr="00790BD2">
        <w:rPr>
          <w:rFonts w:ascii="仿宋_GB2312" w:eastAsia="仿宋_GB2312" w:hAnsi="仿宋_GB2312" w:cs="仿宋_GB2312"/>
          <w:kern w:val="2"/>
          <w:sz w:val="32"/>
          <w:szCs w:val="32"/>
        </w:rPr>
        <w:t>56005</w:t>
      </w:r>
      <w:r w:rsidRPr="00790BD2">
        <w:rPr>
          <w:rFonts w:ascii="仿宋_GB2312" w:eastAsia="仿宋_GB2312" w:hAnsi="仿宋_GB2312" w:cs="仿宋_GB2312" w:hint="eastAsia"/>
          <w:kern w:val="2"/>
          <w:sz w:val="32"/>
          <w:szCs w:val="32"/>
        </w:rPr>
        <w:t>—20</w:t>
      </w:r>
      <w:r w:rsidR="00C239B0"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 w:rsidRPr="00790BD2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0 </w:t>
      </w:r>
      <w:r w:rsidRPr="00790BD2">
        <w:rPr>
          <w:rFonts w:ascii="仿宋_GB2312" w:eastAsia="仿宋_GB2312" w:hAnsi="仿宋_GB2312" w:cs="仿宋_GB2312"/>
          <w:kern w:val="2"/>
          <w:sz w:val="32"/>
          <w:szCs w:val="32"/>
        </w:rPr>
        <w:t>创新管理体系</w:t>
      </w:r>
      <w:r w:rsidRPr="00790BD2">
        <w:rPr>
          <w:rFonts w:ascii="仿宋_GB2312" w:eastAsia="仿宋_GB2312" w:hAnsi="仿宋_GB2312" w:cs="仿宋_GB2312" w:hint="eastAsia"/>
          <w:kern w:val="2"/>
          <w:sz w:val="32"/>
          <w:szCs w:val="32"/>
        </w:rPr>
        <w:t>-</w:t>
      </w:r>
      <w:r w:rsidRPr="00790BD2">
        <w:rPr>
          <w:rFonts w:ascii="仿宋_GB2312" w:eastAsia="仿宋_GB2312" w:hAnsi="仿宋_GB2312" w:cs="仿宋_GB2312"/>
          <w:kern w:val="2"/>
          <w:sz w:val="32"/>
          <w:szCs w:val="32"/>
        </w:rPr>
        <w:t>知识产权管理指南</w:t>
      </w:r>
    </w:p>
    <w:p w14:paraId="43E57BCE" w14:textId="15F3D29A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2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标准主要内容</w:t>
      </w:r>
    </w:p>
    <w:p w14:paraId="13DEB0AC" w14:textId="46D6385A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本团体标准围绕</w:t>
      </w:r>
      <w:r w:rsidR="00354304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05295" w:rsidRPr="00D05295">
        <w:rPr>
          <w:rFonts w:ascii="仿宋_GB2312" w:eastAsia="仿宋_GB2312" w:hAnsi="仿宋_GB2312" w:cs="仿宋_GB2312" w:hint="eastAsia"/>
          <w:sz w:val="32"/>
          <w:szCs w:val="32"/>
        </w:rPr>
        <w:t>工作原则、</w:t>
      </w:r>
      <w:r w:rsidR="00032964">
        <w:rPr>
          <w:rFonts w:ascii="仿宋_GB2312" w:eastAsia="仿宋_GB2312" w:hAnsi="仿宋_GB2312" w:cs="仿宋_GB2312" w:hint="eastAsia"/>
          <w:sz w:val="32"/>
          <w:szCs w:val="32"/>
        </w:rPr>
        <w:t>评估目标、</w:t>
      </w:r>
      <w:r w:rsidR="00D05295" w:rsidRPr="00D05295">
        <w:rPr>
          <w:rFonts w:ascii="仿宋_GB2312" w:eastAsia="仿宋_GB2312" w:hAnsi="仿宋_GB2312" w:cs="仿宋_GB2312" w:hint="eastAsia"/>
          <w:sz w:val="32"/>
          <w:szCs w:val="32"/>
        </w:rPr>
        <w:t>基本要求、评估流程、评估内容、评估方式、评估报告和评估结论</w:t>
      </w:r>
      <w:r w:rsidR="00D05295" w:rsidRPr="00D0529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2E7829">
        <w:rPr>
          <w:rFonts w:ascii="仿宋_GB2312" w:eastAsia="仿宋_GB2312" w:hAnsi="仿宋_GB2312" w:cs="仿宋_GB2312" w:hint="eastAsia"/>
          <w:sz w:val="32"/>
          <w:szCs w:val="32"/>
        </w:rPr>
        <w:t>多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个方面开展研究。</w:t>
      </w:r>
      <w:bookmarkStart w:id="8" w:name="OLE_LINK46"/>
      <w:bookmarkStart w:id="9" w:name="OLE_LINK45"/>
    </w:p>
    <w:p w14:paraId="612C68C2" w14:textId="1D14530B" w:rsidR="00C425F5" w:rsidRDefault="00C425F5" w:rsidP="00C425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2E7829">
        <w:rPr>
          <w:rFonts w:ascii="仿宋_GB2312" w:eastAsia="仿宋_GB2312" w:hAnsi="仿宋_GB2312" w:cs="仿宋_GB2312" w:hint="eastAsia"/>
          <w:sz w:val="32"/>
          <w:szCs w:val="32"/>
        </w:rPr>
        <w:t>基本要求</w:t>
      </w:r>
    </w:p>
    <w:p w14:paraId="207DC8E2" w14:textId="53615486" w:rsidR="002E7829" w:rsidRDefault="00D05295" w:rsidP="00D052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</w:t>
      </w:r>
      <w:r w:rsidR="002E7829">
        <w:rPr>
          <w:rFonts w:ascii="仿宋_GB2312" w:eastAsia="仿宋_GB2312" w:hAnsi="仿宋_GB2312" w:cs="仿宋_GB2312" w:hint="eastAsia"/>
          <w:sz w:val="32"/>
          <w:szCs w:val="32"/>
        </w:rPr>
        <w:t>制度要求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E7829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要求和人员要求。</w:t>
      </w:r>
    </w:p>
    <w:p w14:paraId="12606C04" w14:textId="77777777" w:rsidR="00D05295" w:rsidRPr="00D05295" w:rsidRDefault="00D05295" w:rsidP="00D052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sz w:val="32"/>
          <w:szCs w:val="32"/>
        </w:rPr>
        <w:t>专利申请前评估工作应建立相应工作制度，主要包括：</w:t>
      </w:r>
    </w:p>
    <w:p w14:paraId="181C7DD8" w14:textId="77777777" w:rsidR="00D05295" w:rsidRPr="00D05295" w:rsidRDefault="00D05295" w:rsidP="00D052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sz w:val="32"/>
          <w:szCs w:val="32"/>
        </w:rPr>
        <w:t>——相关创新主体应制定知识产权管理制度，配置知识产权管理人员并明确工作职责；</w:t>
      </w:r>
    </w:p>
    <w:p w14:paraId="35C17A3D" w14:textId="77777777" w:rsidR="00D05295" w:rsidRDefault="00D05295" w:rsidP="00D052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sz w:val="32"/>
          <w:szCs w:val="32"/>
        </w:rPr>
        <w:t>——相关创新主体应建立管理、技术、法务和市场等多部门联动的知识产权申请前评估机制，明确开展专利申请前评估的目标、流程、任务和保障措施。</w:t>
      </w:r>
    </w:p>
    <w:p w14:paraId="1B356C0A" w14:textId="25FC9A56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内部评估机构</w:t>
      </w:r>
    </w:p>
    <w:p w14:paraId="6B7E82E3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——内部评估机构应由知识产权管理部门负责组建；</w:t>
      </w:r>
    </w:p>
    <w:p w14:paraId="6F7034B3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——内部评估机构应至少具备专利检索分析的工具和专利信息分析人员，必要时，内部评估机构可聘请专家协助开展评估工作。</w:t>
      </w:r>
    </w:p>
    <w:p w14:paraId="3EA2A925" w14:textId="66B99514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外部评估机构</w:t>
      </w:r>
    </w:p>
    <w:p w14:paraId="013FBC7F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——外部评估机构应具有独立的服务场所与设施；</w:t>
      </w:r>
    </w:p>
    <w:p w14:paraId="052F15A1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——外部评估机构应具有独立的法人主体； </w:t>
      </w:r>
    </w:p>
    <w:p w14:paraId="7A5D6B85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——外部评估机构应聘有 5 名以上开展评估工作的评估专业人员；</w:t>
      </w:r>
    </w:p>
    <w:p w14:paraId="6CF2D531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——外部评估机构应建立专家库，专家应包括不同领域的技术专家、产业专家、法律专家和知识产权专家；</w:t>
      </w:r>
    </w:p>
    <w:p w14:paraId="3AE9ADC4" w14:textId="77777777" w:rsidR="00D05295" w:rsidRP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——外部评估机构应定期对其机构的评估人员进行职业培训，相关情况应当记录留存；</w:t>
      </w:r>
    </w:p>
    <w:p w14:paraId="241AFD4E" w14:textId="77777777" w:rsid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——外部评估机构应制定相应的规章制度，明示其遵循的评估标准。</w:t>
      </w:r>
    </w:p>
    <w:p w14:paraId="630C9AB1" w14:textId="20AC409C" w:rsidR="00D05295" w:rsidRDefault="00D05295" w:rsidP="00D05295">
      <w:pPr>
        <w:pStyle w:val="af4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05295">
        <w:rPr>
          <w:rFonts w:ascii="仿宋_GB2312" w:eastAsia="仿宋_GB2312" w:hAnsi="仿宋_GB2312" w:cs="仿宋_GB2312" w:hint="eastAsia"/>
          <w:kern w:val="2"/>
          <w:sz w:val="32"/>
          <w:szCs w:val="32"/>
        </w:rPr>
        <w:t>评估人员应当包括熟悉专利制度的知识产权管理人员、专利信息分析人员、技术人员和市场人员；具有专利代理师资格、技术经理人资格或知识产权师职称人员优先。</w:t>
      </w:r>
    </w:p>
    <w:p w14:paraId="6E964A43" w14:textId="7899172C" w:rsidR="006635DB" w:rsidRPr="006635DB" w:rsidRDefault="006635DB" w:rsidP="00D05295">
      <w:pPr>
        <w:pStyle w:val="af4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（4）评估流程</w:t>
      </w:r>
    </w:p>
    <w:bookmarkEnd w:id="8"/>
    <w:bookmarkEnd w:id="9"/>
    <w:p w14:paraId="1F66D82C" w14:textId="3D9CA897" w:rsidR="006635DB" w:rsidRDefault="006635DB" w:rsidP="00AD3F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评估流程包括自主评估流程和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外部评估机构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评估流程。</w:t>
      </w:r>
    </w:p>
    <w:p w14:paraId="17728B23" w14:textId="20506C9F" w:rsidR="006635DB" w:rsidRPr="006635DB" w:rsidRDefault="006635DB" w:rsidP="006635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Pr="006635DB">
        <w:rPr>
          <w:rFonts w:ascii="仿宋_GB2312" w:eastAsia="仿宋_GB2312" w:hAnsi="仿宋_GB2312" w:cs="仿宋_GB2312" w:hint="eastAsia"/>
          <w:sz w:val="32"/>
          <w:szCs w:val="32"/>
        </w:rPr>
        <w:t>评估内容</w:t>
      </w:r>
    </w:p>
    <w:p w14:paraId="7A4F2EDE" w14:textId="69ACE3B2" w:rsidR="006635DB" w:rsidRPr="006635DB" w:rsidRDefault="006635DB" w:rsidP="00AD3F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5DB">
        <w:rPr>
          <w:rFonts w:ascii="仿宋_GB2312" w:eastAsia="仿宋_GB2312" w:hAnsi="仿宋_GB2312" w:cs="仿宋_GB2312" w:hint="eastAsia"/>
          <w:sz w:val="32"/>
          <w:szCs w:val="32"/>
        </w:rPr>
        <w:t>评估内容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Pr="006635DB">
        <w:rPr>
          <w:rFonts w:ascii="仿宋_GB2312" w:eastAsia="仿宋_GB2312" w:hAnsi="仿宋_GB2312" w:cs="仿宋_GB2312" w:hint="eastAsia"/>
          <w:sz w:val="32"/>
          <w:szCs w:val="32"/>
        </w:rPr>
        <w:t>专利战略布局评估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创新成果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应用前景</w:t>
      </w:r>
      <w:r w:rsidRPr="006635DB"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专利申请可行性</w:t>
      </w:r>
      <w:r w:rsidRPr="006635DB"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63ADF" w:rsidRPr="00063ADF">
        <w:rPr>
          <w:rFonts w:ascii="仿宋_GB2312" w:eastAsia="仿宋_GB2312" w:hAnsi="仿宋_GB2312" w:cs="仿宋_GB2312" w:hint="eastAsia"/>
          <w:sz w:val="32"/>
          <w:szCs w:val="32"/>
        </w:rPr>
        <w:t>专利申请策略评估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635DB">
        <w:rPr>
          <w:rFonts w:ascii="仿宋_GB2312" w:eastAsia="仿宋_GB2312" w:hAnsi="仿宋_GB2312" w:cs="仿宋_GB2312" w:hint="eastAsia"/>
          <w:sz w:val="32"/>
          <w:szCs w:val="32"/>
        </w:rPr>
        <w:t>专利申请文件质量评估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E02A2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5F813C" w14:textId="6D571559" w:rsidR="00817DB5" w:rsidRPr="00D229FE" w:rsidRDefault="00D229FE" w:rsidP="00AD3F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本团体标准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还规范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6635DB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的程序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的机构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的具体要求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EDD681" w14:textId="20660378" w:rsidR="00817DB5" w:rsidRDefault="00BF37A1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3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修订前后标准差异</w:t>
      </w:r>
    </w:p>
    <w:p w14:paraId="684AE881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主要修改内容如下：</w:t>
      </w:r>
    </w:p>
    <w:p w14:paraId="084E2054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修改“1 范围”的表述；</w:t>
      </w:r>
    </w:p>
    <w:p w14:paraId="383AEFC3" w14:textId="278B803B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.2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机构要求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”部分表述；</w:t>
      </w:r>
    </w:p>
    <w:p w14:paraId="0DEC59EC" w14:textId="31469EA2" w:rsidR="008C6816" w:rsidRDefault="00BF37A1" w:rsidP="008C68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.3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人员要求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”部分表述；</w:t>
      </w:r>
    </w:p>
    <w:p w14:paraId="7211D2CE" w14:textId="542F12A9" w:rsidR="008C6816" w:rsidRPr="008C6816" w:rsidRDefault="008C6816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63AD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评估流程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”中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图示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的相关内容；</w:t>
      </w:r>
    </w:p>
    <w:p w14:paraId="198256E8" w14:textId="69235E0C" w:rsidR="0031494D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lastRenderedPageBreak/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修改“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.1专利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布局整体规划</w:t>
      </w:r>
      <w:r w:rsidR="00E10608" w:rsidRPr="00E10608"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”条款内容；</w:t>
      </w:r>
    </w:p>
    <w:p w14:paraId="49B3507A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2B6B">
        <w:rPr>
          <w:rFonts w:ascii="黑体" w:eastAsia="黑体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修正部分笔误。</w:t>
      </w:r>
    </w:p>
    <w:p w14:paraId="7F233CF2" w14:textId="189CD316" w:rsidR="00817DB5" w:rsidRDefault="00BF37A1" w:rsidP="00C22B6B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4</w:t>
      </w:r>
      <w:r w:rsidR="00C22B6B">
        <w:rPr>
          <w:rFonts w:ascii="楷体_GB2312" w:eastAsia="楷体_GB2312" w:hAnsi="楷体_GB2312" w:cs="楷体_GB2312" w:hint="eastAsia"/>
          <w:b/>
          <w:sz w:val="32"/>
          <w:szCs w:val="32"/>
        </w:rPr>
        <w:t>.</w:t>
      </w:r>
      <w:r w:rsidR="00C22B6B">
        <w:rPr>
          <w:rFonts w:ascii="楷体_GB2312" w:eastAsia="楷体_GB2312" w:hAnsi="楷体_GB2312" w:cs="楷体_GB2312"/>
          <w:b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解决的主要问题</w:t>
      </w:r>
    </w:p>
    <w:p w14:paraId="3B84C6E3" w14:textId="5D7FBD2F" w:rsidR="009C3EA6" w:rsidRPr="009C3EA6" w:rsidRDefault="00E10608" w:rsidP="00E1060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0" w:name="OLE_LINK43"/>
      <w:bookmarkStart w:id="11" w:name="OLE_LINK44"/>
      <w:r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="009C3EA6" w:rsidRPr="009C3EA6"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培育高价专利、促进专利产业化</w:t>
      </w:r>
      <w:r w:rsidR="009C3EA6" w:rsidRPr="009C3EA6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基本保障</w:t>
      </w:r>
      <w:r w:rsidR="009C3EA6" w:rsidRPr="009C3EA6">
        <w:rPr>
          <w:rFonts w:ascii="仿宋_GB2312" w:eastAsia="仿宋_GB2312" w:hAnsi="仿宋_GB2312" w:cs="仿宋_GB2312" w:hint="eastAsia"/>
          <w:sz w:val="32"/>
          <w:szCs w:val="32"/>
        </w:rPr>
        <w:t>，受到相关各方及社会各界广泛关注，其规范化、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</w:t>
      </w:r>
      <w:r w:rsidR="009C3EA6" w:rsidRPr="009C3EA6">
        <w:rPr>
          <w:rFonts w:ascii="仿宋_GB2312" w:eastAsia="仿宋_GB2312" w:hAnsi="仿宋_GB2312" w:cs="仿宋_GB2312" w:hint="eastAsia"/>
          <w:sz w:val="32"/>
          <w:szCs w:val="32"/>
        </w:rPr>
        <w:t>化、标准化已成为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各类创新</w:t>
      </w:r>
      <w:r w:rsidR="009C3EA6" w:rsidRPr="009C3EA6">
        <w:rPr>
          <w:rFonts w:ascii="仿宋_GB2312" w:eastAsia="仿宋_GB2312" w:hAnsi="仿宋_GB2312" w:cs="仿宋_GB2312" w:hint="eastAsia"/>
          <w:sz w:val="32"/>
          <w:szCs w:val="32"/>
        </w:rPr>
        <w:t>主体的共同诉求，特制定本标准。</w:t>
      </w:r>
      <w:r w:rsidR="00C425F5" w:rsidRPr="00C425F5">
        <w:rPr>
          <w:rFonts w:ascii="仿宋_GB2312" w:eastAsia="仿宋_GB2312" w:hAnsi="仿宋_GB2312" w:cs="仿宋_GB2312" w:hint="eastAsia"/>
          <w:sz w:val="32"/>
          <w:szCs w:val="32"/>
        </w:rPr>
        <w:t>本标准为</w:t>
      </w:r>
      <w:r w:rsidRPr="00E10608">
        <w:rPr>
          <w:rFonts w:ascii="仿宋_GB2312" w:eastAsia="仿宋_GB2312" w:hAnsi="仿宋_GB2312" w:cs="仿宋_GB2312" w:hint="eastAsia"/>
          <w:sz w:val="32"/>
          <w:szCs w:val="32"/>
        </w:rPr>
        <w:t>企业、高等学校、科研机构等创新主体开展专利申请前评估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提供了</w:t>
      </w:r>
      <w:r w:rsidRPr="00E10608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指引</w:t>
      </w:r>
      <w:r w:rsidRPr="00E10608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 w:rsidRPr="00E10608">
        <w:rPr>
          <w:rFonts w:ascii="仿宋_GB2312" w:eastAsia="仿宋_GB2312" w:hAnsi="仿宋_GB2312" w:cs="仿宋_GB2312" w:hint="eastAsia"/>
          <w:sz w:val="32"/>
          <w:szCs w:val="32"/>
        </w:rPr>
        <w:t>也适用于对相关创新主体开展专利申请前评估工作进行监督、约束和评判。</w:t>
      </w:r>
    </w:p>
    <w:bookmarkEnd w:id="10"/>
    <w:bookmarkEnd w:id="11"/>
    <w:p w14:paraId="65B1C478" w14:textId="77777777" w:rsidR="00817DB5" w:rsidRDefault="00BF37A1" w:rsidP="00C22B6B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三、主要试验（或验证）情况</w:t>
      </w:r>
    </w:p>
    <w:p w14:paraId="6FCB1B57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5DE4BA16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四、标准中涉及专利的情况</w:t>
      </w:r>
    </w:p>
    <w:p w14:paraId="2AC3C3F9" w14:textId="77777777" w:rsidR="00817DB5" w:rsidRDefault="00BF37A1" w:rsidP="00C22B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2" w:name="OLE_LINK286"/>
      <w:bookmarkStart w:id="13" w:name="OLE_LINK285"/>
      <w:bookmarkStart w:id="14" w:name="OLE_LINK27"/>
      <w:bookmarkStart w:id="15" w:name="OLE_LINK28"/>
      <w:r>
        <w:rPr>
          <w:rFonts w:ascii="仿宋_GB2312" w:eastAsia="仿宋_GB2312" w:hAnsi="仿宋_GB2312" w:cs="仿宋_GB2312" w:hint="eastAsia"/>
          <w:sz w:val="32"/>
          <w:szCs w:val="32"/>
        </w:rPr>
        <w:t>本标准</w:t>
      </w:r>
      <w:bookmarkEnd w:id="12"/>
      <w:bookmarkEnd w:id="13"/>
      <w:r>
        <w:rPr>
          <w:rFonts w:ascii="仿宋_GB2312" w:eastAsia="仿宋_GB2312" w:hAnsi="仿宋_GB2312" w:cs="仿宋_GB2312" w:hint="eastAsia"/>
          <w:sz w:val="32"/>
          <w:szCs w:val="32"/>
        </w:rPr>
        <w:t>不涉及专利问题。</w:t>
      </w:r>
      <w:bookmarkEnd w:id="14"/>
      <w:bookmarkEnd w:id="15"/>
    </w:p>
    <w:p w14:paraId="3341E31A" w14:textId="77777777" w:rsidR="00817DB5" w:rsidRDefault="00BF37A1" w:rsidP="00C22B6B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五、预期达到的社会效益、对产业发展的作用等情况</w:t>
      </w:r>
    </w:p>
    <w:p w14:paraId="5CAB1613" w14:textId="46B42EC2" w:rsidR="00C22B6B" w:rsidRDefault="009C3EA6" w:rsidP="00C22B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EA6">
        <w:rPr>
          <w:rFonts w:ascii="仿宋_GB2312" w:eastAsia="仿宋_GB2312" w:hAnsi="仿宋_GB2312" w:cs="仿宋_GB2312" w:hint="eastAsia"/>
          <w:sz w:val="32"/>
          <w:szCs w:val="32"/>
        </w:rPr>
        <w:t>本标准可提高</w:t>
      </w:r>
      <w:r w:rsidR="00E10608">
        <w:rPr>
          <w:rFonts w:ascii="仿宋_GB2312" w:eastAsia="仿宋_GB2312" w:hAnsi="仿宋_GB2312" w:cs="仿宋_GB2312" w:hint="eastAsia"/>
          <w:sz w:val="32"/>
          <w:szCs w:val="32"/>
        </w:rPr>
        <w:t>专利申请前评估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CD6200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的工作效率和质量，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建立更加科学、公正、透明的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专利申请前评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估体系，为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各行业的高价值专利培育和</w:t>
      </w:r>
      <w:r w:rsidR="00D05295">
        <w:rPr>
          <w:rFonts w:ascii="仿宋_GB2312" w:eastAsia="仿宋_GB2312" w:hAnsi="仿宋_GB2312" w:cs="仿宋_GB2312" w:hint="eastAsia"/>
          <w:sz w:val="32"/>
          <w:szCs w:val="32"/>
        </w:rPr>
        <w:t>创新成果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转化运用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提供可靠的技术支撑和</w:t>
      </w:r>
      <w:r w:rsidR="003F3496">
        <w:rPr>
          <w:rFonts w:ascii="仿宋_GB2312" w:eastAsia="仿宋_GB2312" w:hAnsi="仿宋_GB2312" w:cs="仿宋_GB2312" w:hint="eastAsia"/>
          <w:sz w:val="32"/>
          <w:szCs w:val="32"/>
        </w:rPr>
        <w:t>制度</w:t>
      </w:r>
      <w:r w:rsidRPr="009C3EA6">
        <w:rPr>
          <w:rFonts w:ascii="仿宋_GB2312" w:eastAsia="仿宋_GB2312" w:hAnsi="仿宋_GB2312" w:cs="仿宋_GB2312" w:hint="eastAsia"/>
          <w:sz w:val="32"/>
          <w:szCs w:val="32"/>
        </w:rPr>
        <w:t>保障。</w:t>
      </w:r>
    </w:p>
    <w:p w14:paraId="2A77FB9C" w14:textId="278CB93D" w:rsidR="00817DB5" w:rsidRDefault="009C3EA6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六、与国际、国外对比情况</w:t>
      </w:r>
    </w:p>
    <w:p w14:paraId="57FC605F" w14:textId="77777777" w:rsidR="00817DB5" w:rsidRDefault="00BF37A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国外无相关标准。</w:t>
      </w:r>
    </w:p>
    <w:p w14:paraId="0809FF0C" w14:textId="77777777" w:rsidR="00817DB5" w:rsidRDefault="00BF37A1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七、在标准体系中的位置，与现行相关法律、法规、规章及标准，特别是强制性标准的协调性</w:t>
      </w:r>
    </w:p>
    <w:p w14:paraId="028A1D5F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本标准相关部分遵循现行法律、法规、规章及相关标准要求。</w:t>
      </w:r>
    </w:p>
    <w:p w14:paraId="079566DC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八、重大分歧意见的处理经过和依据</w:t>
      </w:r>
    </w:p>
    <w:p w14:paraId="0997B2E3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暂无。</w:t>
      </w:r>
    </w:p>
    <w:p w14:paraId="1BB651F9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九、标准性质的建议说明</w:t>
      </w:r>
    </w:p>
    <w:p w14:paraId="3C738BC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建议本标准的性质为团体标准。</w:t>
      </w:r>
    </w:p>
    <w:p w14:paraId="37C67829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十、贯彻标准的要求和措施建议</w:t>
      </w:r>
    </w:p>
    <w:p w14:paraId="53FC8413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建议本标准批准发布之日起实施。</w:t>
      </w:r>
    </w:p>
    <w:p w14:paraId="1963BC2C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建议本标准由中国知识产权研究会组织宣贯实施，其他单位依据或参照本标准开展相关工作。</w:t>
      </w:r>
    </w:p>
    <w:p w14:paraId="2236B3B6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十一、废止现行相关标准的建议</w:t>
      </w:r>
    </w:p>
    <w:p w14:paraId="27990AC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353F874E" w14:textId="77777777" w:rsidR="00817DB5" w:rsidRDefault="00BF37A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十二、其他应予说明的事项</w:t>
      </w:r>
    </w:p>
    <w:p w14:paraId="61367D59" w14:textId="77777777" w:rsidR="00817DB5" w:rsidRDefault="00BF37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暂无。</w:t>
      </w:r>
    </w:p>
    <w:p w14:paraId="02739A26" w14:textId="77777777" w:rsidR="00817DB5" w:rsidRDefault="00817DB5">
      <w:pPr>
        <w:spacing w:line="360" w:lineRule="auto"/>
        <w:rPr>
          <w:rFonts w:ascii="ˎ̥" w:hAnsi="ˎ̥" w:hint="eastAsia"/>
          <w:sz w:val="24"/>
        </w:rPr>
      </w:pPr>
    </w:p>
    <w:p w14:paraId="27ED5CFA" w14:textId="77777777" w:rsidR="00817DB5" w:rsidRDefault="00817DB5">
      <w:pPr>
        <w:spacing w:line="360" w:lineRule="auto"/>
        <w:rPr>
          <w:rFonts w:ascii="ˎ̥" w:hAnsi="ˎ̥" w:hint="eastAsia"/>
          <w:b/>
          <w:bCs/>
          <w:sz w:val="24"/>
        </w:rPr>
      </w:pPr>
    </w:p>
    <w:sectPr w:rsidR="00817DB5" w:rsidSect="00C22B6B">
      <w:footerReference w:type="default" r:id="rId7"/>
      <w:pgSz w:w="11906" w:h="16838"/>
      <w:pgMar w:top="2155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E833F" w14:textId="77777777" w:rsidR="00B70A18" w:rsidRDefault="00B70A18">
      <w:r>
        <w:separator/>
      </w:r>
    </w:p>
  </w:endnote>
  <w:endnote w:type="continuationSeparator" w:id="0">
    <w:p w14:paraId="7A08757B" w14:textId="77777777" w:rsidR="00B70A18" w:rsidRDefault="00B7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6FC5" w14:textId="6CF253BB" w:rsidR="00817DB5" w:rsidRDefault="00BF37A1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7B14EF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7F3BA2D1" w14:textId="77777777" w:rsidR="00817DB5" w:rsidRDefault="00817D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325B" w14:textId="77777777" w:rsidR="00B70A18" w:rsidRDefault="00B70A18">
      <w:r>
        <w:separator/>
      </w:r>
    </w:p>
  </w:footnote>
  <w:footnote w:type="continuationSeparator" w:id="0">
    <w:p w14:paraId="2AFABBA1" w14:textId="77777777" w:rsidR="00B70A18" w:rsidRDefault="00B7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0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iMDU0Mjg1NTI0OTViM2MxZDViZjVjYzJiYzU3MjcifQ=="/>
  </w:docVars>
  <w:rsids>
    <w:rsidRoot w:val="00980DE8"/>
    <w:rsid w:val="00001861"/>
    <w:rsid w:val="000208E3"/>
    <w:rsid w:val="0002126A"/>
    <w:rsid w:val="00032964"/>
    <w:rsid w:val="00032CF4"/>
    <w:rsid w:val="0005255F"/>
    <w:rsid w:val="00061660"/>
    <w:rsid w:val="00063ADF"/>
    <w:rsid w:val="00070BFA"/>
    <w:rsid w:val="000728F6"/>
    <w:rsid w:val="0007429B"/>
    <w:rsid w:val="0008479A"/>
    <w:rsid w:val="00095464"/>
    <w:rsid w:val="000A751F"/>
    <w:rsid w:val="000B43B9"/>
    <w:rsid w:val="000D6CCE"/>
    <w:rsid w:val="000D73E0"/>
    <w:rsid w:val="000E1F03"/>
    <w:rsid w:val="00105C89"/>
    <w:rsid w:val="001160C7"/>
    <w:rsid w:val="001450A1"/>
    <w:rsid w:val="00150329"/>
    <w:rsid w:val="001660B1"/>
    <w:rsid w:val="00173871"/>
    <w:rsid w:val="00174CEF"/>
    <w:rsid w:val="001813CB"/>
    <w:rsid w:val="001919B1"/>
    <w:rsid w:val="00195556"/>
    <w:rsid w:val="001E1E7F"/>
    <w:rsid w:val="001E58FB"/>
    <w:rsid w:val="00202422"/>
    <w:rsid w:val="00217103"/>
    <w:rsid w:val="002510F0"/>
    <w:rsid w:val="00271055"/>
    <w:rsid w:val="00272BC9"/>
    <w:rsid w:val="00273B91"/>
    <w:rsid w:val="00273FFA"/>
    <w:rsid w:val="0027657C"/>
    <w:rsid w:val="00285CED"/>
    <w:rsid w:val="002B29A3"/>
    <w:rsid w:val="002B4AA9"/>
    <w:rsid w:val="002C469E"/>
    <w:rsid w:val="002D6BD4"/>
    <w:rsid w:val="002D7505"/>
    <w:rsid w:val="002D7FBD"/>
    <w:rsid w:val="002E10E1"/>
    <w:rsid w:val="002E36F1"/>
    <w:rsid w:val="002E57E9"/>
    <w:rsid w:val="002E7829"/>
    <w:rsid w:val="002F550A"/>
    <w:rsid w:val="00302F5A"/>
    <w:rsid w:val="00303D72"/>
    <w:rsid w:val="00312ACB"/>
    <w:rsid w:val="00314089"/>
    <w:rsid w:val="0031494D"/>
    <w:rsid w:val="00337B5F"/>
    <w:rsid w:val="0034030C"/>
    <w:rsid w:val="00346164"/>
    <w:rsid w:val="00347ACC"/>
    <w:rsid w:val="00354304"/>
    <w:rsid w:val="00360AFD"/>
    <w:rsid w:val="00392594"/>
    <w:rsid w:val="0039365D"/>
    <w:rsid w:val="003A4685"/>
    <w:rsid w:val="003B3DAD"/>
    <w:rsid w:val="003C1A20"/>
    <w:rsid w:val="003E39C9"/>
    <w:rsid w:val="003E6E5B"/>
    <w:rsid w:val="003F2E83"/>
    <w:rsid w:val="003F3496"/>
    <w:rsid w:val="004005BB"/>
    <w:rsid w:val="00411A6A"/>
    <w:rsid w:val="0041454F"/>
    <w:rsid w:val="00421E4E"/>
    <w:rsid w:val="00424ECB"/>
    <w:rsid w:val="00430DA3"/>
    <w:rsid w:val="00430FCF"/>
    <w:rsid w:val="004346F3"/>
    <w:rsid w:val="00443428"/>
    <w:rsid w:val="004459B0"/>
    <w:rsid w:val="00473EA1"/>
    <w:rsid w:val="00474CBE"/>
    <w:rsid w:val="00495AAE"/>
    <w:rsid w:val="00515161"/>
    <w:rsid w:val="005206FD"/>
    <w:rsid w:val="00537325"/>
    <w:rsid w:val="00542B7E"/>
    <w:rsid w:val="00562890"/>
    <w:rsid w:val="00562E03"/>
    <w:rsid w:val="00565F6C"/>
    <w:rsid w:val="0057211D"/>
    <w:rsid w:val="0057253E"/>
    <w:rsid w:val="00574390"/>
    <w:rsid w:val="00581721"/>
    <w:rsid w:val="005A63C3"/>
    <w:rsid w:val="005B122E"/>
    <w:rsid w:val="005B488A"/>
    <w:rsid w:val="005C399E"/>
    <w:rsid w:val="005D0EB2"/>
    <w:rsid w:val="005D117B"/>
    <w:rsid w:val="005E0D42"/>
    <w:rsid w:val="005F5157"/>
    <w:rsid w:val="005F7129"/>
    <w:rsid w:val="00604AFC"/>
    <w:rsid w:val="0061688A"/>
    <w:rsid w:val="00642B73"/>
    <w:rsid w:val="00650079"/>
    <w:rsid w:val="006509DB"/>
    <w:rsid w:val="006635DB"/>
    <w:rsid w:val="00680894"/>
    <w:rsid w:val="00681F6D"/>
    <w:rsid w:val="006A071A"/>
    <w:rsid w:val="006B3745"/>
    <w:rsid w:val="006C444D"/>
    <w:rsid w:val="006D063E"/>
    <w:rsid w:val="006D3EA6"/>
    <w:rsid w:val="006E0B09"/>
    <w:rsid w:val="006E48A1"/>
    <w:rsid w:val="00726EE5"/>
    <w:rsid w:val="007402C8"/>
    <w:rsid w:val="00740D25"/>
    <w:rsid w:val="00742D79"/>
    <w:rsid w:val="00751C0A"/>
    <w:rsid w:val="00751D05"/>
    <w:rsid w:val="00781FFB"/>
    <w:rsid w:val="00790BD2"/>
    <w:rsid w:val="007A4E23"/>
    <w:rsid w:val="007A6914"/>
    <w:rsid w:val="007B10D5"/>
    <w:rsid w:val="007B14EF"/>
    <w:rsid w:val="007E25AA"/>
    <w:rsid w:val="00812C57"/>
    <w:rsid w:val="00814CC4"/>
    <w:rsid w:val="008178EF"/>
    <w:rsid w:val="00817DB5"/>
    <w:rsid w:val="008201C3"/>
    <w:rsid w:val="00823F0F"/>
    <w:rsid w:val="00830102"/>
    <w:rsid w:val="00850740"/>
    <w:rsid w:val="00851B3B"/>
    <w:rsid w:val="008574A7"/>
    <w:rsid w:val="0086158C"/>
    <w:rsid w:val="00863C42"/>
    <w:rsid w:val="00870D79"/>
    <w:rsid w:val="00871FEB"/>
    <w:rsid w:val="00885348"/>
    <w:rsid w:val="00892D17"/>
    <w:rsid w:val="0089546E"/>
    <w:rsid w:val="008979A0"/>
    <w:rsid w:val="008B5909"/>
    <w:rsid w:val="008B5DEA"/>
    <w:rsid w:val="008C35AB"/>
    <w:rsid w:val="008C41A5"/>
    <w:rsid w:val="008C4329"/>
    <w:rsid w:val="008C5F6A"/>
    <w:rsid w:val="008C6816"/>
    <w:rsid w:val="008D04A0"/>
    <w:rsid w:val="008D3A19"/>
    <w:rsid w:val="008D573E"/>
    <w:rsid w:val="008E0BBF"/>
    <w:rsid w:val="008F18F2"/>
    <w:rsid w:val="00914356"/>
    <w:rsid w:val="00927F6E"/>
    <w:rsid w:val="00936E54"/>
    <w:rsid w:val="00940758"/>
    <w:rsid w:val="00941E88"/>
    <w:rsid w:val="009562D3"/>
    <w:rsid w:val="00964505"/>
    <w:rsid w:val="009708FD"/>
    <w:rsid w:val="00973F67"/>
    <w:rsid w:val="00974978"/>
    <w:rsid w:val="00980974"/>
    <w:rsid w:val="00980DE8"/>
    <w:rsid w:val="00981D65"/>
    <w:rsid w:val="009837B1"/>
    <w:rsid w:val="00984D26"/>
    <w:rsid w:val="00987283"/>
    <w:rsid w:val="009924CA"/>
    <w:rsid w:val="00992E44"/>
    <w:rsid w:val="009940ED"/>
    <w:rsid w:val="009A3813"/>
    <w:rsid w:val="009A60FD"/>
    <w:rsid w:val="009B5890"/>
    <w:rsid w:val="009C3EA6"/>
    <w:rsid w:val="009D207E"/>
    <w:rsid w:val="009D212C"/>
    <w:rsid w:val="009D47E0"/>
    <w:rsid w:val="009D4BCB"/>
    <w:rsid w:val="009F21D9"/>
    <w:rsid w:val="009F2F38"/>
    <w:rsid w:val="009F7470"/>
    <w:rsid w:val="00A057FD"/>
    <w:rsid w:val="00A232F6"/>
    <w:rsid w:val="00A23EA0"/>
    <w:rsid w:val="00A30B3C"/>
    <w:rsid w:val="00A34DD3"/>
    <w:rsid w:val="00A352A1"/>
    <w:rsid w:val="00A35EE5"/>
    <w:rsid w:val="00A41092"/>
    <w:rsid w:val="00A51F38"/>
    <w:rsid w:val="00A76EBB"/>
    <w:rsid w:val="00A804A9"/>
    <w:rsid w:val="00AB6BB9"/>
    <w:rsid w:val="00AC03D7"/>
    <w:rsid w:val="00AC7590"/>
    <w:rsid w:val="00AD3FDE"/>
    <w:rsid w:val="00AE2711"/>
    <w:rsid w:val="00AE5930"/>
    <w:rsid w:val="00AE67F3"/>
    <w:rsid w:val="00B000E3"/>
    <w:rsid w:val="00B17F48"/>
    <w:rsid w:val="00B2023B"/>
    <w:rsid w:val="00B269A8"/>
    <w:rsid w:val="00B4289F"/>
    <w:rsid w:val="00B70A18"/>
    <w:rsid w:val="00B75DAF"/>
    <w:rsid w:val="00B76232"/>
    <w:rsid w:val="00B76826"/>
    <w:rsid w:val="00B90146"/>
    <w:rsid w:val="00B90C34"/>
    <w:rsid w:val="00B94588"/>
    <w:rsid w:val="00B97BFF"/>
    <w:rsid w:val="00BA3559"/>
    <w:rsid w:val="00BD18A5"/>
    <w:rsid w:val="00BF37A1"/>
    <w:rsid w:val="00C13CE3"/>
    <w:rsid w:val="00C17988"/>
    <w:rsid w:val="00C22B6B"/>
    <w:rsid w:val="00C239B0"/>
    <w:rsid w:val="00C2400D"/>
    <w:rsid w:val="00C254C5"/>
    <w:rsid w:val="00C264DE"/>
    <w:rsid w:val="00C30ED3"/>
    <w:rsid w:val="00C425F5"/>
    <w:rsid w:val="00C4695F"/>
    <w:rsid w:val="00C4719B"/>
    <w:rsid w:val="00C60094"/>
    <w:rsid w:val="00C84279"/>
    <w:rsid w:val="00C9073A"/>
    <w:rsid w:val="00CA13B4"/>
    <w:rsid w:val="00CA2557"/>
    <w:rsid w:val="00CC4154"/>
    <w:rsid w:val="00CD6200"/>
    <w:rsid w:val="00CE15B7"/>
    <w:rsid w:val="00CF1900"/>
    <w:rsid w:val="00CF2DD5"/>
    <w:rsid w:val="00CF308A"/>
    <w:rsid w:val="00D05295"/>
    <w:rsid w:val="00D1523C"/>
    <w:rsid w:val="00D21D3A"/>
    <w:rsid w:val="00D229FE"/>
    <w:rsid w:val="00D24911"/>
    <w:rsid w:val="00D34868"/>
    <w:rsid w:val="00D35119"/>
    <w:rsid w:val="00D37451"/>
    <w:rsid w:val="00D42424"/>
    <w:rsid w:val="00D51338"/>
    <w:rsid w:val="00D520AE"/>
    <w:rsid w:val="00D55FAA"/>
    <w:rsid w:val="00D73BA8"/>
    <w:rsid w:val="00DA280E"/>
    <w:rsid w:val="00DA328D"/>
    <w:rsid w:val="00DA758F"/>
    <w:rsid w:val="00DC13F5"/>
    <w:rsid w:val="00DC453A"/>
    <w:rsid w:val="00DC780F"/>
    <w:rsid w:val="00DD41EA"/>
    <w:rsid w:val="00DD6C6E"/>
    <w:rsid w:val="00DE2928"/>
    <w:rsid w:val="00DE6226"/>
    <w:rsid w:val="00DF5EE4"/>
    <w:rsid w:val="00E02A2F"/>
    <w:rsid w:val="00E05137"/>
    <w:rsid w:val="00E10608"/>
    <w:rsid w:val="00E107DB"/>
    <w:rsid w:val="00E1240A"/>
    <w:rsid w:val="00E12986"/>
    <w:rsid w:val="00E15D27"/>
    <w:rsid w:val="00E17FEA"/>
    <w:rsid w:val="00E339DA"/>
    <w:rsid w:val="00E44777"/>
    <w:rsid w:val="00E559E5"/>
    <w:rsid w:val="00E60403"/>
    <w:rsid w:val="00E753BB"/>
    <w:rsid w:val="00E80A69"/>
    <w:rsid w:val="00E8340F"/>
    <w:rsid w:val="00E85BEA"/>
    <w:rsid w:val="00EA48EC"/>
    <w:rsid w:val="00EB4492"/>
    <w:rsid w:val="00EB45FD"/>
    <w:rsid w:val="00ED0DB7"/>
    <w:rsid w:val="00ED6B4C"/>
    <w:rsid w:val="00ED6DC6"/>
    <w:rsid w:val="00EE7371"/>
    <w:rsid w:val="00F1163C"/>
    <w:rsid w:val="00F12C26"/>
    <w:rsid w:val="00F169C4"/>
    <w:rsid w:val="00F20DE0"/>
    <w:rsid w:val="00F210A5"/>
    <w:rsid w:val="00F34553"/>
    <w:rsid w:val="00F374AF"/>
    <w:rsid w:val="00F74128"/>
    <w:rsid w:val="00F94CDE"/>
    <w:rsid w:val="00FA3A20"/>
    <w:rsid w:val="00FB6BC8"/>
    <w:rsid w:val="00FC2281"/>
    <w:rsid w:val="00FC2C95"/>
    <w:rsid w:val="115F3748"/>
    <w:rsid w:val="13BF624E"/>
    <w:rsid w:val="1C912F6E"/>
    <w:rsid w:val="1EE660B3"/>
    <w:rsid w:val="2F441FAD"/>
    <w:rsid w:val="406F1DFD"/>
    <w:rsid w:val="41DC660B"/>
    <w:rsid w:val="4A0958BC"/>
    <w:rsid w:val="500C74A0"/>
    <w:rsid w:val="54E4699B"/>
    <w:rsid w:val="5FC6276D"/>
    <w:rsid w:val="726C3A5C"/>
    <w:rsid w:val="76D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6A4A2"/>
  <w15:docId w15:val="{5C984C88-2267-4B01-AF17-8A15E7C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1"/>
    <w:next w:val="a1"/>
    <w:uiPriority w:val="9"/>
    <w:semiHidden/>
    <w:unhideWhenUsed/>
    <w:qFormat/>
    <w:pPr>
      <w:spacing w:line="14" w:lineRule="atLeast"/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1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1"/>
    <w:uiPriority w:val="99"/>
    <w:semiHidden/>
    <w:unhideWhenUsed/>
    <w:qFormat/>
    <w:pPr>
      <w:jc w:val="left"/>
    </w:pPr>
    <w:rPr>
      <w:kern w:val="0"/>
      <w:sz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2"/>
    <w:uiPriority w:val="22"/>
    <w:qFormat/>
    <w:rPr>
      <w:b/>
      <w:bCs/>
      <w:shd w:val="clear" w:color="auto" w:fill="007AFF"/>
    </w:rPr>
  </w:style>
  <w:style w:type="character" w:styleId="af1">
    <w:name w:val="FollowedHyperlink"/>
    <w:basedOn w:val="a2"/>
    <w:uiPriority w:val="99"/>
    <w:semiHidden/>
    <w:unhideWhenUsed/>
    <w:qFormat/>
    <w:rPr>
      <w:color w:val="333333"/>
      <w:u w:val="none"/>
    </w:rPr>
  </w:style>
  <w:style w:type="character" w:styleId="af2">
    <w:name w:val="Hyperlink"/>
    <w:basedOn w:val="a2"/>
    <w:uiPriority w:val="99"/>
    <w:semiHidden/>
    <w:unhideWhenUsed/>
    <w:qFormat/>
    <w:rPr>
      <w:color w:val="333333"/>
      <w:u w:val="none"/>
    </w:rPr>
  </w:style>
  <w:style w:type="character" w:styleId="HTML">
    <w:name w:val="HTML Code"/>
    <w:basedOn w:val="a2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af3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HTML0">
    <w:name w:val="HTML Keyboard"/>
    <w:basedOn w:val="a2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2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30">
    <w:name w:val="标题 3 字符"/>
    <w:basedOn w:val="a2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c">
    <w:name w:val="页眉 字符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4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段 Char"/>
    <w:link w:val="af4"/>
    <w:qFormat/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文章正文"/>
    <w:basedOn w:val="a1"/>
    <w:link w:val="Char0"/>
    <w:qFormat/>
    <w:pPr>
      <w:ind w:firstLineChars="200" w:firstLine="56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Char0">
    <w:name w:val="文章正文 Char"/>
    <w:link w:val="af5"/>
    <w:qFormat/>
    <w:rPr>
      <w:rFonts w:ascii="宋体" w:eastAsia="宋体" w:hAnsi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layui-laypage-curr">
    <w:name w:val="layui-laypage-curr"/>
    <w:basedOn w:val="a2"/>
    <w:qFormat/>
  </w:style>
  <w:style w:type="character" w:customStyle="1" w:styleId="nth-of-type1">
    <w:name w:val="nth-of-type(1)"/>
    <w:basedOn w:val="a2"/>
    <w:qFormat/>
  </w:style>
  <w:style w:type="character" w:customStyle="1" w:styleId="nth-of-type11">
    <w:name w:val="nth-of-type(1)1"/>
    <w:basedOn w:val="a2"/>
    <w:qFormat/>
  </w:style>
  <w:style w:type="paragraph" w:customStyle="1" w:styleId="a0">
    <w:name w:val="标准文件_三级条标题"/>
    <w:basedOn w:val="a"/>
    <w:next w:val="af6"/>
    <w:uiPriority w:val="99"/>
    <w:qFormat/>
    <w:pPr>
      <w:widowControl/>
      <w:numPr>
        <w:ilvl w:val="4"/>
      </w:numPr>
      <w:outlineLvl w:val="3"/>
    </w:pPr>
  </w:style>
  <w:style w:type="paragraph" w:customStyle="1" w:styleId="a">
    <w:name w:val="标准文件_二级条标题"/>
    <w:next w:val="af6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cs="黑体"/>
      <w:sz w:val="21"/>
      <w:szCs w:val="21"/>
    </w:rPr>
  </w:style>
  <w:style w:type="paragraph" w:customStyle="1" w:styleId="af6">
    <w:name w:val="标准文件_段"/>
    <w:uiPriority w:val="99"/>
    <w:qFormat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7">
    <w:name w:val="二级条标题"/>
    <w:basedOn w:val="a"/>
    <w:next w:val="af4"/>
    <w:qFormat/>
    <w:pPr>
      <w:spacing w:beforeLines="50" w:before="50" w:afterLines="50" w:after="50"/>
    </w:pPr>
    <w:rPr>
      <w:rFonts w:ascii="Times New Roman"/>
    </w:rPr>
  </w:style>
  <w:style w:type="character" w:customStyle="1" w:styleId="af8">
    <w:name w:val="段 字符"/>
    <w:basedOn w:val="a2"/>
    <w:autoRedefine/>
    <w:qFormat/>
    <w:rsid w:val="00D229FE"/>
    <w:rPr>
      <w:rFonts w:ascii="Times New Roman" w:eastAsia="宋体" w:hAnsi="Times New Roman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zhengyanfeng</dc:creator>
  <cp:lastModifiedBy>综合部</cp:lastModifiedBy>
  <cp:revision>92</cp:revision>
  <cp:lastPrinted>2024-09-01T07:54:00Z</cp:lastPrinted>
  <dcterms:created xsi:type="dcterms:W3CDTF">2023-05-16T01:04:00Z</dcterms:created>
  <dcterms:modified xsi:type="dcterms:W3CDTF">2024-09-20T08:33:00Z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D0FA5534D7F24DCCAFFA4D514D4FE452_13</vt:lpwstr>
  </property>
</Properties>
</file>