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23" w:rsidRPr="00BC0623" w:rsidRDefault="00BC0623" w:rsidP="00BC0623">
      <w:pPr>
        <w:spacing w:line="360" w:lineRule="auto"/>
        <w:jc w:val="left"/>
        <w:rPr>
          <w:rFonts w:eastAsia="黑体"/>
          <w:sz w:val="32"/>
          <w:szCs w:val="32"/>
        </w:rPr>
      </w:pPr>
      <w:r w:rsidRPr="00BC0623">
        <w:rPr>
          <w:rFonts w:eastAsia="黑体" w:hint="eastAsia"/>
          <w:sz w:val="32"/>
          <w:szCs w:val="32"/>
        </w:rPr>
        <w:t>附件</w:t>
      </w:r>
      <w:r w:rsidRPr="00BC0623">
        <w:rPr>
          <w:rFonts w:eastAsia="黑体" w:hint="eastAsia"/>
          <w:sz w:val="32"/>
          <w:szCs w:val="32"/>
        </w:rPr>
        <w:t>1</w:t>
      </w:r>
    </w:p>
    <w:p w:rsidR="00BC0623" w:rsidRPr="00BC0623" w:rsidRDefault="00BC0623" w:rsidP="00BC0623">
      <w:pPr>
        <w:pStyle w:val="af0"/>
        <w:spacing w:line="6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BC0623">
        <w:rPr>
          <w:rFonts w:ascii="Times New Roman" w:eastAsia="方正小标宋简体" w:hAnsi="Times New Roman" w:hint="eastAsia"/>
          <w:sz w:val="44"/>
          <w:szCs w:val="44"/>
        </w:rPr>
        <w:t>会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议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日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程</w:t>
      </w:r>
    </w:p>
    <w:p w:rsidR="00BC0623" w:rsidRPr="00BC0623" w:rsidRDefault="00BC0623" w:rsidP="00BC0623">
      <w:pPr>
        <w:rPr>
          <w:rFonts w:eastAsiaTheme="minorEastAsia"/>
          <w:sz w:val="21"/>
          <w:szCs w:val="24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2"/>
        <w:gridCol w:w="6956"/>
      </w:tblGrid>
      <w:tr w:rsidR="00BC0623" w:rsidRPr="00BC0623" w:rsidTr="00CA7E1A">
        <w:trPr>
          <w:trHeight w:val="624"/>
          <w:tblHeader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黑体" w:cs="黑体"/>
                <w:sz w:val="28"/>
                <w:szCs w:val="32"/>
                <w:lang w:eastAsia="zh-Hans"/>
              </w:rPr>
            </w:pP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时</w:t>
            </w:r>
            <w:r w:rsidRPr="00BC0623">
              <w:rPr>
                <w:rFonts w:eastAsia="黑体" w:cs="黑体" w:hint="eastAsia"/>
                <w:sz w:val="28"/>
                <w:szCs w:val="32"/>
              </w:rPr>
              <w:t xml:space="preserve"> </w:t>
            </w: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间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黑体" w:cs="黑体"/>
                <w:sz w:val="28"/>
                <w:szCs w:val="32"/>
              </w:rPr>
            </w:pP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会</w:t>
            </w:r>
            <w:r w:rsidRPr="00BC0623">
              <w:rPr>
                <w:rFonts w:eastAsia="黑体" w:cs="黑体" w:hint="eastAsia"/>
                <w:sz w:val="28"/>
                <w:szCs w:val="32"/>
              </w:rPr>
              <w:t xml:space="preserve"> </w:t>
            </w: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议</w:t>
            </w:r>
            <w:r w:rsidRPr="00BC0623">
              <w:rPr>
                <w:rFonts w:eastAsia="黑体" w:cs="黑体" w:hint="eastAsia"/>
                <w:sz w:val="28"/>
                <w:szCs w:val="32"/>
              </w:rPr>
              <w:t xml:space="preserve"> </w:t>
            </w: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内</w:t>
            </w:r>
            <w:r w:rsidRPr="00BC0623">
              <w:rPr>
                <w:rFonts w:eastAsia="黑体" w:cs="黑体" w:hint="eastAsia"/>
                <w:sz w:val="28"/>
                <w:szCs w:val="32"/>
              </w:rPr>
              <w:t xml:space="preserve"> </w:t>
            </w:r>
            <w:r w:rsidRPr="00BC0623">
              <w:rPr>
                <w:rFonts w:eastAsia="黑体" w:cs="黑体" w:hint="eastAsia"/>
                <w:sz w:val="28"/>
                <w:szCs w:val="32"/>
                <w:lang w:eastAsia="zh-Hans"/>
              </w:rPr>
              <w:t>容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eastAsia="楷体_GB2312" w:cs="仿宋_GB2312"/>
                <w:sz w:val="28"/>
                <w:szCs w:val="32"/>
                <w:lang w:eastAsia="zh-Hans"/>
              </w:rPr>
            </w:pP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eastAsia="zh-Hans" w:bidi="ar"/>
              </w:rPr>
              <w:t>第一</w:t>
            </w:r>
            <w:bookmarkStart w:id="0" w:name="_GoBack"/>
            <w:bookmarkEnd w:id="0"/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eastAsia="zh-Hans" w:bidi="ar"/>
              </w:rPr>
              <w:t>阶段</w:t>
            </w: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bidi="ar"/>
              </w:rPr>
              <w:t>：换届会议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</w:rPr>
              <w:t>9:00-9:20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领导致辞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</w:rPr>
              <w:t>9:20-9:30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介绍专利专业委员会换届筹备工作情况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9:30-9:45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___WRD_EMBED_SUB_40" w:hint="eastAsia"/>
                <w:color w:val="000000"/>
                <w:sz w:val="28"/>
                <w:szCs w:val="32"/>
                <w:lang w:bidi="ar"/>
              </w:rPr>
              <w:t>选举产生</w:t>
            </w: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第三届专利专业委员会委员；</w:t>
            </w:r>
          </w:p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微软雅黑" w:hint="eastAsia"/>
                <w:color w:val="000000"/>
                <w:sz w:val="28"/>
                <w:szCs w:val="32"/>
                <w:lang w:bidi="ar"/>
              </w:rPr>
              <w:t>选举</w:t>
            </w:r>
            <w:r w:rsidRPr="00BC0623">
              <w:rPr>
                <w:rFonts w:eastAsia="仿宋_GB2312" w:cs="___WRD_EMBED_SUB_40" w:hint="eastAsia"/>
                <w:color w:val="000000"/>
                <w:sz w:val="28"/>
                <w:szCs w:val="32"/>
                <w:lang w:bidi="ar"/>
              </w:rPr>
              <w:t>产生</w:t>
            </w: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主任委员、副主任委员、秘书长、副秘书长等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</w:rPr>
              <w:t>9:45-9:55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为第三届专利专业委员会新任主任委员、副主任委员、秘书长、副秘书长颁发证书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</w:rPr>
              <w:t>9:55-10:10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介绍并审议《中国知识产权研究会专利专业委员会工作细则》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</w:rPr>
              <w:t>10:10-10:20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widowControl/>
              <w:snapToGrid w:val="0"/>
              <w:spacing w:line="460" w:lineRule="exact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专</w:t>
            </w:r>
            <w:r w:rsidRPr="00FA39D8">
              <w:rPr>
                <w:rFonts w:eastAsia="仿宋_GB2312" w:cs="仿宋_GB2312" w:hint="eastAsia"/>
                <w:color w:val="000000"/>
                <w:spacing w:val="4"/>
                <w:sz w:val="28"/>
                <w:szCs w:val="32"/>
                <w:lang w:bidi="ar"/>
              </w:rPr>
              <w:t>利专委会秘书处汇报中国知识产权研究会专利专业委员会</w:t>
            </w: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2024</w:t>
            </w: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年度重点工作计划及</w:t>
            </w:r>
            <w:r w:rsidRPr="00BC0623">
              <w:rPr>
                <w:rFonts w:eastAsia="仿宋_GB2312" w:cs="微软雅黑" w:hint="eastAsia"/>
                <w:color w:val="000000"/>
                <w:sz w:val="28"/>
                <w:szCs w:val="32"/>
                <w:lang w:bidi="ar"/>
              </w:rPr>
              <w:t>执</w:t>
            </w:r>
            <w:r w:rsidRPr="00BC0623">
              <w:rPr>
                <w:rFonts w:eastAsia="仿宋_GB2312" w:cs="___WRD_EMBED_SUB_41" w:hint="eastAsia"/>
                <w:color w:val="000000"/>
                <w:sz w:val="28"/>
                <w:szCs w:val="32"/>
                <w:lang w:bidi="ar"/>
              </w:rPr>
              <w:t>行</w:t>
            </w:r>
            <w:r w:rsidRPr="00BC0623">
              <w:rPr>
                <w:rFonts w:eastAsia="仿宋_GB2312" w:cs="微软雅黑" w:hint="eastAsia"/>
                <w:color w:val="000000"/>
                <w:sz w:val="28"/>
                <w:szCs w:val="32"/>
                <w:lang w:bidi="ar"/>
              </w:rPr>
              <w:t>情</w:t>
            </w:r>
            <w:r w:rsidRPr="00BC0623">
              <w:rPr>
                <w:rFonts w:eastAsia="仿宋_GB2312" w:cs="___WRD_EMBED_SUB_41" w:hint="eastAsia"/>
                <w:color w:val="000000"/>
                <w:sz w:val="28"/>
                <w:szCs w:val="32"/>
                <w:lang w:bidi="ar"/>
              </w:rPr>
              <w:t>况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10:20-10:30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left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28"/>
                <w:szCs w:val="32"/>
                <w:lang w:bidi="ar"/>
              </w:rPr>
              <w:t>专利专委会</w:t>
            </w: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主任委员总结发言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黑体" w:cs="仿宋_GB2312"/>
                <w:sz w:val="28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sz w:val="28"/>
                <w:szCs w:val="32"/>
                <w:lang w:bidi="ar"/>
              </w:rPr>
              <w:t xml:space="preserve">10:30-10:50  </w:t>
            </w:r>
            <w:r w:rsidRPr="00BC0623">
              <w:rPr>
                <w:rFonts w:eastAsia="黑体" w:cs="仿宋_GB2312" w:hint="eastAsia"/>
                <w:sz w:val="28"/>
                <w:szCs w:val="32"/>
                <w:lang w:bidi="ar"/>
              </w:rPr>
              <w:t>会间中场休息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楷体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eastAsia="zh-Hans" w:bidi="ar"/>
              </w:rPr>
              <w:t>第</w:t>
            </w: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bidi="ar"/>
              </w:rPr>
              <w:t>二</w:t>
            </w: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eastAsia="zh-Hans" w:bidi="ar"/>
              </w:rPr>
              <w:t>阶段</w:t>
            </w: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bidi="ar"/>
              </w:rPr>
              <w:t>：专利促进新业态新领域高质量发展研讨会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10:50-11:50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left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专利专委会专家围绕专利促进新业态新领域高质量发展主题做</w:t>
            </w:r>
            <w:r w:rsidRPr="00BC0623">
              <w:rPr>
                <w:rFonts w:eastAsia="仿宋_GB2312" w:cs="微软雅黑" w:hint="eastAsia"/>
                <w:sz w:val="28"/>
                <w:szCs w:val="32"/>
                <w:lang w:bidi="ar"/>
              </w:rPr>
              <w:t>系列主旨演讲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11:50-12:00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left"/>
              <w:rPr>
                <w:rFonts w:eastAsia="仿宋_GB2312" w:cs="仿宋_GB2312"/>
                <w:sz w:val="28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sz w:val="28"/>
                <w:szCs w:val="32"/>
                <w:lang w:bidi="ar"/>
              </w:rPr>
              <w:t>会议总结</w:t>
            </w:r>
          </w:p>
        </w:tc>
      </w:tr>
      <w:tr w:rsidR="00BC0623" w:rsidRPr="00BC0623" w:rsidTr="00CA7E1A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23" w:rsidRPr="00BC0623" w:rsidRDefault="00BC0623">
            <w:pPr>
              <w:adjustRightInd w:val="0"/>
              <w:snapToGrid w:val="0"/>
              <w:spacing w:line="460" w:lineRule="exact"/>
              <w:jc w:val="center"/>
              <w:rPr>
                <w:rFonts w:eastAsia="楷体_GB2312" w:cs="黑体"/>
                <w:sz w:val="28"/>
                <w:szCs w:val="32"/>
              </w:rPr>
            </w:pPr>
            <w:r w:rsidRPr="00BC0623">
              <w:rPr>
                <w:rFonts w:eastAsia="楷体_GB2312" w:cs="楷体" w:hint="eastAsia"/>
                <w:b/>
                <w:bCs/>
                <w:color w:val="000000"/>
                <w:sz w:val="28"/>
                <w:szCs w:val="32"/>
                <w:lang w:bidi="ar"/>
              </w:rPr>
              <w:t>结束会议</w:t>
            </w:r>
          </w:p>
        </w:tc>
      </w:tr>
    </w:tbl>
    <w:p w:rsidR="00BC0623" w:rsidRPr="00BC0623" w:rsidRDefault="00BC0623" w:rsidP="00BC0623">
      <w:pPr>
        <w:widowControl/>
        <w:jc w:val="left"/>
        <w:rPr>
          <w:rFonts w:eastAsia="华文仿宋" w:cstheme="minorBidi"/>
          <w:sz w:val="32"/>
          <w:szCs w:val="32"/>
        </w:rPr>
      </w:pPr>
    </w:p>
    <w:sectPr w:rsidR="00BC0623" w:rsidRPr="00BC0623" w:rsidSect="003A6327">
      <w:footerReference w:type="default" r:id="rId7"/>
      <w:pgSz w:w="11906" w:h="16838" w:code="9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D1" w:rsidRDefault="00D936D1" w:rsidP="006D4274">
      <w:r>
        <w:separator/>
      </w:r>
    </w:p>
  </w:endnote>
  <w:endnote w:type="continuationSeparator" w:id="0">
    <w:p w:rsidR="00D936D1" w:rsidRDefault="00D936D1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__WRD_EMBED_SUB_40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1">
    <w:altName w:val="Malgun Gothic Semilight"/>
    <w:charset w:val="86"/>
    <w:family w:val="modern"/>
    <w:pitch w:val="fixed"/>
    <w:sig w:usb0="00000000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C6" w:rsidRPr="00AB2902" w:rsidRDefault="00AD16C6" w:rsidP="00AB2902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Pr="00AB2902">
      <w:rPr>
        <w:rStyle w:val="af"/>
        <w:sz w:val="28"/>
        <w:szCs w:val="28"/>
      </w:rPr>
      <w:fldChar w:fldCharType="separate"/>
    </w:r>
    <w:r w:rsidR="00CA7E1A">
      <w:rPr>
        <w:rStyle w:val="af"/>
        <w:noProof/>
        <w:sz w:val="28"/>
        <w:szCs w:val="28"/>
      </w:rPr>
      <w:t>1</w:t>
    </w:r>
    <w:r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AD16C6" w:rsidRDefault="00AD16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D1" w:rsidRDefault="00D936D1" w:rsidP="006D4274">
      <w:r>
        <w:separator/>
      </w:r>
    </w:p>
  </w:footnote>
  <w:footnote w:type="continuationSeparator" w:id="0">
    <w:p w:rsidR="00D936D1" w:rsidRDefault="00D936D1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D3A16DC"/>
    <w:multiLevelType w:val="multilevel"/>
    <w:tmpl w:val="3D3A16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28"/>
    <w:rsid w:val="0000061B"/>
    <w:rsid w:val="0000661F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75721"/>
    <w:rsid w:val="00083D03"/>
    <w:rsid w:val="000878D7"/>
    <w:rsid w:val="00095048"/>
    <w:rsid w:val="000B39E5"/>
    <w:rsid w:val="000B647C"/>
    <w:rsid w:val="000D3E4A"/>
    <w:rsid w:val="0010177E"/>
    <w:rsid w:val="00124EC7"/>
    <w:rsid w:val="0012521F"/>
    <w:rsid w:val="0013009E"/>
    <w:rsid w:val="0014295E"/>
    <w:rsid w:val="001462DC"/>
    <w:rsid w:val="001569BC"/>
    <w:rsid w:val="001577AE"/>
    <w:rsid w:val="00187FBF"/>
    <w:rsid w:val="001A20EE"/>
    <w:rsid w:val="001B07C1"/>
    <w:rsid w:val="001B102C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D4C2B"/>
    <w:rsid w:val="002E0586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870AC"/>
    <w:rsid w:val="00392541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20603"/>
    <w:rsid w:val="00622562"/>
    <w:rsid w:val="00637B67"/>
    <w:rsid w:val="00660699"/>
    <w:rsid w:val="00662F1E"/>
    <w:rsid w:val="006700B2"/>
    <w:rsid w:val="006704DB"/>
    <w:rsid w:val="0068595B"/>
    <w:rsid w:val="00691086"/>
    <w:rsid w:val="006A2649"/>
    <w:rsid w:val="006A5EA2"/>
    <w:rsid w:val="006B06FA"/>
    <w:rsid w:val="006C0A73"/>
    <w:rsid w:val="006C182C"/>
    <w:rsid w:val="006C4561"/>
    <w:rsid w:val="006C6BE6"/>
    <w:rsid w:val="006C79DE"/>
    <w:rsid w:val="006D4274"/>
    <w:rsid w:val="006F66A9"/>
    <w:rsid w:val="0070266B"/>
    <w:rsid w:val="0070722E"/>
    <w:rsid w:val="0072084C"/>
    <w:rsid w:val="0072570D"/>
    <w:rsid w:val="0073132A"/>
    <w:rsid w:val="0073699C"/>
    <w:rsid w:val="00737082"/>
    <w:rsid w:val="0074359C"/>
    <w:rsid w:val="007B00F9"/>
    <w:rsid w:val="007B6AF7"/>
    <w:rsid w:val="007C0085"/>
    <w:rsid w:val="007D4E64"/>
    <w:rsid w:val="007D5808"/>
    <w:rsid w:val="007E7FDE"/>
    <w:rsid w:val="007F4DB7"/>
    <w:rsid w:val="008174E3"/>
    <w:rsid w:val="00823B9E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379A"/>
    <w:rsid w:val="008E37DE"/>
    <w:rsid w:val="00901F7F"/>
    <w:rsid w:val="00927273"/>
    <w:rsid w:val="00935A21"/>
    <w:rsid w:val="00955162"/>
    <w:rsid w:val="00961902"/>
    <w:rsid w:val="00961E28"/>
    <w:rsid w:val="009620E1"/>
    <w:rsid w:val="00964E1A"/>
    <w:rsid w:val="00983C66"/>
    <w:rsid w:val="00993507"/>
    <w:rsid w:val="0099767F"/>
    <w:rsid w:val="009C5480"/>
    <w:rsid w:val="00A059CA"/>
    <w:rsid w:val="00A36E38"/>
    <w:rsid w:val="00A67ED6"/>
    <w:rsid w:val="00A7166B"/>
    <w:rsid w:val="00A72FFC"/>
    <w:rsid w:val="00AA70E6"/>
    <w:rsid w:val="00AA75CA"/>
    <w:rsid w:val="00AB2902"/>
    <w:rsid w:val="00AC7062"/>
    <w:rsid w:val="00AD16C6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233F2"/>
    <w:rsid w:val="00B364A9"/>
    <w:rsid w:val="00B37FA8"/>
    <w:rsid w:val="00B46BF7"/>
    <w:rsid w:val="00B5140D"/>
    <w:rsid w:val="00B56090"/>
    <w:rsid w:val="00B773C2"/>
    <w:rsid w:val="00B95B45"/>
    <w:rsid w:val="00BB7FC3"/>
    <w:rsid w:val="00BC0623"/>
    <w:rsid w:val="00BD246B"/>
    <w:rsid w:val="00BD6B4C"/>
    <w:rsid w:val="00BD7F9A"/>
    <w:rsid w:val="00BE6C12"/>
    <w:rsid w:val="00C01D69"/>
    <w:rsid w:val="00C17ECE"/>
    <w:rsid w:val="00C30CB2"/>
    <w:rsid w:val="00C656ED"/>
    <w:rsid w:val="00C736F0"/>
    <w:rsid w:val="00CA5E04"/>
    <w:rsid w:val="00CA7E1A"/>
    <w:rsid w:val="00CC1DB4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36B4D"/>
    <w:rsid w:val="00D51748"/>
    <w:rsid w:val="00D51A25"/>
    <w:rsid w:val="00D525C6"/>
    <w:rsid w:val="00D618FC"/>
    <w:rsid w:val="00D733CA"/>
    <w:rsid w:val="00D91220"/>
    <w:rsid w:val="00D936D1"/>
    <w:rsid w:val="00DA6344"/>
    <w:rsid w:val="00DD1563"/>
    <w:rsid w:val="00DE17FF"/>
    <w:rsid w:val="00E30322"/>
    <w:rsid w:val="00E303CE"/>
    <w:rsid w:val="00E34A62"/>
    <w:rsid w:val="00E36726"/>
    <w:rsid w:val="00E4080B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15085"/>
    <w:rsid w:val="00F43F59"/>
    <w:rsid w:val="00F4774D"/>
    <w:rsid w:val="00F5192C"/>
    <w:rsid w:val="00F52912"/>
    <w:rsid w:val="00F619B8"/>
    <w:rsid w:val="00F62BA0"/>
    <w:rsid w:val="00F65984"/>
    <w:rsid w:val="00F723AC"/>
    <w:rsid w:val="00F853F8"/>
    <w:rsid w:val="00F86075"/>
    <w:rsid w:val="00F91A92"/>
    <w:rsid w:val="00F959E4"/>
    <w:rsid w:val="00FA16E6"/>
    <w:rsid w:val="00FA39D8"/>
    <w:rsid w:val="00FB3C63"/>
    <w:rsid w:val="00FB44A4"/>
    <w:rsid w:val="00FC0BEC"/>
    <w:rsid w:val="00FC338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9C7538C"/>
  <w15:chartTrackingRefBased/>
  <w15:docId w15:val="{E65297B1-0D01-44E0-8E0C-153769B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semiHidden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qFormat/>
    <w:rsid w:val="00637B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paragraph" w:styleId="af0">
    <w:name w:val="List Paragraph"/>
    <w:basedOn w:val="a"/>
    <w:uiPriority w:val="34"/>
    <w:qFormat/>
    <w:rsid w:val="00BC0623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">
    <w:name w:val="页脚 字符2"/>
    <w:rsid w:val="00BC06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20844;&#25991;%20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 2023</Template>
  <TotalTime>93</TotalTime>
  <Pages>1</Pages>
  <Words>280</Words>
  <Characters>146</Characters>
  <Application>Microsoft Office Word</Application>
  <DocSecurity>0</DocSecurity>
  <Lines>1</Lines>
  <Paragraphs>1</Paragraphs>
  <ScaleCrop>false</ScaleCrop>
  <Company>番茄花园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ZHB</dc:creator>
  <cp:keywords/>
  <cp:lastModifiedBy>综合部</cp:lastModifiedBy>
  <cp:revision>35</cp:revision>
  <cp:lastPrinted>2024-10-16T01:25:00Z</cp:lastPrinted>
  <dcterms:created xsi:type="dcterms:W3CDTF">2024-10-12T03:13:00Z</dcterms:created>
  <dcterms:modified xsi:type="dcterms:W3CDTF">2024-10-16T08:04:00Z</dcterms:modified>
</cp:coreProperties>
</file>