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B1D" w:rsidRPr="00816ED0" w:rsidRDefault="00816ED0" w:rsidP="00816ED0">
      <w:pPr>
        <w:jc w:val="center"/>
        <w:rPr>
          <w:rFonts w:hint="eastAsia"/>
          <w:b/>
          <w:sz w:val="22"/>
        </w:rPr>
      </w:pPr>
      <w:r w:rsidRPr="00816ED0">
        <w:rPr>
          <w:rFonts w:hint="eastAsia"/>
          <w:b/>
          <w:sz w:val="22"/>
        </w:rPr>
        <w:t>2023</w:t>
      </w:r>
      <w:r w:rsidRPr="00816ED0">
        <w:rPr>
          <w:rFonts w:hint="eastAsia"/>
          <w:b/>
          <w:sz w:val="22"/>
        </w:rPr>
        <w:t>年</w:t>
      </w:r>
      <w:r w:rsidRPr="00816ED0">
        <w:rPr>
          <w:rFonts w:hint="eastAsia"/>
          <w:b/>
          <w:sz w:val="22"/>
        </w:rPr>
        <w:t>1-3</w:t>
      </w:r>
      <w:r w:rsidRPr="00816ED0">
        <w:rPr>
          <w:rFonts w:hint="eastAsia"/>
          <w:b/>
          <w:sz w:val="22"/>
        </w:rPr>
        <w:t>月我国部分焦化产品平均价格</w:t>
      </w:r>
    </w:p>
    <w:p w:rsidR="00816ED0" w:rsidRDefault="00816ED0" w:rsidP="00816ED0">
      <w:pPr>
        <w:ind w:firstLineChars="200" w:firstLine="420"/>
        <w:rPr>
          <w:rFonts w:hint="eastAsia"/>
        </w:rPr>
      </w:pPr>
      <w:r>
        <w:rPr>
          <w:rFonts w:hint="eastAsia"/>
        </w:rPr>
        <w:t>2023</w:t>
      </w:r>
      <w:r>
        <w:rPr>
          <w:rFonts w:hint="eastAsia"/>
        </w:rPr>
        <w:t>年前三个月我国焦化产品平均价格同比增长环比下降趋势明显，特别是沥青产品的平均价格环比持续下降有利于拉动炭黑生产主要原材料煤焦油及蒽油的价格，但是整体上与去年相比各焦化产品平均价格同比增长趋势没有改变</w:t>
      </w:r>
      <w:r w:rsidR="005B4BD4">
        <w:rPr>
          <w:rFonts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783"/>
        <w:gridCol w:w="863"/>
        <w:gridCol w:w="862"/>
        <w:gridCol w:w="782"/>
        <w:gridCol w:w="782"/>
        <w:gridCol w:w="782"/>
        <w:gridCol w:w="782"/>
        <w:gridCol w:w="782"/>
        <w:gridCol w:w="782"/>
        <w:gridCol w:w="781"/>
      </w:tblGrid>
      <w:tr w:rsidR="00816ED0" w:rsidRPr="00816ED0" w:rsidTr="00816ED0">
        <w:trPr>
          <w:trHeight w:val="270"/>
        </w:trPr>
        <w:tc>
          <w:tcPr>
            <w:tcW w:w="5000" w:type="pct"/>
            <w:gridSpan w:val="11"/>
            <w:shd w:val="clear" w:color="auto" w:fill="auto"/>
            <w:noWrap/>
            <w:vAlign w:val="center"/>
            <w:hideMark/>
          </w:tcPr>
          <w:p w:rsidR="00816ED0" w:rsidRPr="00816ED0" w:rsidRDefault="00816ED0" w:rsidP="00816ED0">
            <w:pPr>
              <w:jc w:val="center"/>
              <w:rPr>
                <w:sz w:val="16"/>
              </w:rPr>
            </w:pPr>
            <w:r w:rsidRPr="00816ED0">
              <w:rPr>
                <w:rFonts w:hint="eastAsia"/>
                <w:sz w:val="16"/>
              </w:rPr>
              <w:t>2023</w:t>
            </w:r>
            <w:r w:rsidRPr="00816ED0">
              <w:rPr>
                <w:rFonts w:hint="eastAsia"/>
                <w:sz w:val="16"/>
              </w:rPr>
              <w:t>年我国部分焦化产品平均价格</w:t>
            </w:r>
            <w:r w:rsidRPr="00816ED0">
              <w:rPr>
                <w:rFonts w:hint="eastAsia"/>
                <w:sz w:val="16"/>
              </w:rPr>
              <w:t xml:space="preserve">   </w:t>
            </w:r>
            <w:r w:rsidRPr="00816ED0">
              <w:rPr>
                <w:rFonts w:hint="eastAsia"/>
                <w:sz w:val="16"/>
              </w:rPr>
              <w:t>元</w:t>
            </w:r>
            <w:r w:rsidRPr="00816ED0">
              <w:rPr>
                <w:rFonts w:hint="eastAsia"/>
                <w:sz w:val="16"/>
              </w:rPr>
              <w:t>/</w:t>
            </w:r>
            <w:r w:rsidRPr="00816ED0">
              <w:rPr>
                <w:rFonts w:hint="eastAsia"/>
                <w:sz w:val="16"/>
              </w:rPr>
              <w:t>吨</w:t>
            </w:r>
          </w:p>
        </w:tc>
      </w:tr>
      <w:tr w:rsidR="00816ED0" w:rsidRPr="00816ED0" w:rsidTr="00816ED0">
        <w:trPr>
          <w:trHeight w:val="270"/>
        </w:trPr>
        <w:tc>
          <w:tcPr>
            <w:tcW w:w="317" w:type="pct"/>
            <w:shd w:val="clear" w:color="auto" w:fill="auto"/>
            <w:noWrap/>
            <w:vAlign w:val="center"/>
            <w:hideMark/>
          </w:tcPr>
          <w:p w:rsidR="00816ED0" w:rsidRPr="00816ED0" w:rsidRDefault="00816ED0" w:rsidP="00816ED0">
            <w:pPr>
              <w:jc w:val="center"/>
              <w:rPr>
                <w:sz w:val="16"/>
              </w:rPr>
            </w:pPr>
            <w:r w:rsidRPr="00816ED0">
              <w:rPr>
                <w:rFonts w:hint="eastAsia"/>
                <w:sz w:val="16"/>
              </w:rPr>
              <w:t>日期</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煤焦油</w:t>
            </w:r>
          </w:p>
        </w:tc>
        <w:tc>
          <w:tcPr>
            <w:tcW w:w="506" w:type="pct"/>
            <w:shd w:val="clear" w:color="auto" w:fill="auto"/>
            <w:noWrap/>
            <w:vAlign w:val="center"/>
            <w:hideMark/>
          </w:tcPr>
          <w:p w:rsidR="00816ED0" w:rsidRPr="00816ED0" w:rsidRDefault="00816ED0" w:rsidP="00816ED0">
            <w:pPr>
              <w:jc w:val="center"/>
              <w:rPr>
                <w:sz w:val="16"/>
              </w:rPr>
            </w:pPr>
            <w:r w:rsidRPr="00816ED0">
              <w:rPr>
                <w:rFonts w:hint="eastAsia"/>
                <w:sz w:val="16"/>
              </w:rPr>
              <w:t>改性沥青</w:t>
            </w:r>
          </w:p>
        </w:tc>
        <w:tc>
          <w:tcPr>
            <w:tcW w:w="506" w:type="pct"/>
            <w:shd w:val="clear" w:color="auto" w:fill="auto"/>
            <w:noWrap/>
            <w:vAlign w:val="center"/>
            <w:hideMark/>
          </w:tcPr>
          <w:p w:rsidR="00816ED0" w:rsidRPr="00816ED0" w:rsidRDefault="00816ED0" w:rsidP="00816ED0">
            <w:pPr>
              <w:jc w:val="center"/>
              <w:rPr>
                <w:sz w:val="16"/>
              </w:rPr>
            </w:pPr>
            <w:r w:rsidRPr="00816ED0">
              <w:rPr>
                <w:rFonts w:hint="eastAsia"/>
                <w:sz w:val="16"/>
              </w:rPr>
              <w:t>中温沥青</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洗油</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轻油</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工业</w:t>
            </w:r>
            <w:proofErr w:type="gramStart"/>
            <w:r w:rsidRPr="00816ED0">
              <w:rPr>
                <w:rFonts w:hint="eastAsia"/>
                <w:sz w:val="16"/>
              </w:rPr>
              <w:t>萘</w:t>
            </w:r>
            <w:proofErr w:type="gramEnd"/>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精萘</w:t>
            </w:r>
          </w:p>
        </w:tc>
        <w:tc>
          <w:tcPr>
            <w:tcW w:w="459" w:type="pct"/>
            <w:shd w:val="clear" w:color="auto" w:fill="auto"/>
            <w:noWrap/>
            <w:vAlign w:val="center"/>
            <w:hideMark/>
          </w:tcPr>
          <w:p w:rsidR="00816ED0" w:rsidRPr="00816ED0" w:rsidRDefault="00816ED0" w:rsidP="00816ED0">
            <w:pPr>
              <w:jc w:val="center"/>
              <w:rPr>
                <w:sz w:val="16"/>
              </w:rPr>
            </w:pPr>
            <w:proofErr w:type="gramStart"/>
            <w:r w:rsidRPr="00816ED0">
              <w:rPr>
                <w:rFonts w:hint="eastAsia"/>
                <w:sz w:val="16"/>
              </w:rPr>
              <w:t>蒽</w:t>
            </w:r>
            <w:proofErr w:type="gramEnd"/>
            <w:r w:rsidRPr="00816ED0">
              <w:rPr>
                <w:rFonts w:hint="eastAsia"/>
                <w:sz w:val="16"/>
              </w:rPr>
              <w:t>油</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粗酚</w:t>
            </w:r>
          </w:p>
        </w:tc>
        <w:tc>
          <w:tcPr>
            <w:tcW w:w="459" w:type="pct"/>
            <w:shd w:val="clear" w:color="auto" w:fill="auto"/>
            <w:noWrap/>
            <w:vAlign w:val="center"/>
            <w:hideMark/>
          </w:tcPr>
          <w:p w:rsidR="00816ED0" w:rsidRPr="00816ED0" w:rsidRDefault="00816ED0" w:rsidP="00816ED0">
            <w:pPr>
              <w:jc w:val="center"/>
              <w:rPr>
                <w:sz w:val="16"/>
              </w:rPr>
            </w:pPr>
            <w:proofErr w:type="gramStart"/>
            <w:r w:rsidRPr="00816ED0">
              <w:rPr>
                <w:rFonts w:hint="eastAsia"/>
                <w:sz w:val="16"/>
              </w:rPr>
              <w:t>酚</w:t>
            </w:r>
            <w:proofErr w:type="gramEnd"/>
            <w:r w:rsidRPr="00816ED0">
              <w:rPr>
                <w:rFonts w:hint="eastAsia"/>
                <w:sz w:val="16"/>
              </w:rPr>
              <w:t>油</w:t>
            </w:r>
          </w:p>
        </w:tc>
      </w:tr>
      <w:tr w:rsidR="00816ED0" w:rsidRPr="00816ED0" w:rsidTr="00816ED0">
        <w:trPr>
          <w:trHeight w:val="270"/>
        </w:trPr>
        <w:tc>
          <w:tcPr>
            <w:tcW w:w="317" w:type="pct"/>
            <w:shd w:val="clear" w:color="auto" w:fill="auto"/>
            <w:noWrap/>
            <w:vAlign w:val="center"/>
            <w:hideMark/>
          </w:tcPr>
          <w:p w:rsidR="00816ED0" w:rsidRPr="00816ED0" w:rsidRDefault="00816ED0" w:rsidP="00816ED0">
            <w:pPr>
              <w:jc w:val="center"/>
              <w:rPr>
                <w:sz w:val="16"/>
              </w:rPr>
            </w:pPr>
            <w:r w:rsidRPr="00816ED0">
              <w:rPr>
                <w:rFonts w:hint="eastAsia"/>
                <w:sz w:val="16"/>
              </w:rPr>
              <w:t>1</w:t>
            </w:r>
            <w:r w:rsidRPr="00816ED0">
              <w:rPr>
                <w:rFonts w:hint="eastAsia"/>
                <w:sz w:val="16"/>
              </w:rPr>
              <w:t>月</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5201.69</w:t>
            </w:r>
          </w:p>
        </w:tc>
        <w:tc>
          <w:tcPr>
            <w:tcW w:w="506" w:type="pct"/>
            <w:shd w:val="clear" w:color="auto" w:fill="auto"/>
            <w:noWrap/>
            <w:vAlign w:val="center"/>
            <w:hideMark/>
          </w:tcPr>
          <w:p w:rsidR="00816ED0" w:rsidRPr="00816ED0" w:rsidRDefault="00816ED0" w:rsidP="00816ED0">
            <w:pPr>
              <w:jc w:val="center"/>
              <w:rPr>
                <w:sz w:val="16"/>
              </w:rPr>
            </w:pPr>
            <w:r w:rsidRPr="00816ED0">
              <w:rPr>
                <w:rFonts w:hint="eastAsia"/>
                <w:sz w:val="16"/>
              </w:rPr>
              <w:t>8105.17</w:t>
            </w:r>
          </w:p>
        </w:tc>
        <w:tc>
          <w:tcPr>
            <w:tcW w:w="506" w:type="pct"/>
            <w:shd w:val="clear" w:color="auto" w:fill="auto"/>
            <w:noWrap/>
            <w:vAlign w:val="center"/>
            <w:hideMark/>
          </w:tcPr>
          <w:p w:rsidR="00816ED0" w:rsidRPr="00816ED0" w:rsidRDefault="00816ED0" w:rsidP="00816ED0">
            <w:pPr>
              <w:jc w:val="center"/>
              <w:rPr>
                <w:sz w:val="16"/>
              </w:rPr>
            </w:pPr>
            <w:r w:rsidRPr="00816ED0">
              <w:rPr>
                <w:rFonts w:hint="eastAsia"/>
                <w:sz w:val="16"/>
              </w:rPr>
              <w:t>7725.45</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5516.64</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5707.14</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5728.57</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7288.39</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5560.49</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3464.52</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5464.08</w:t>
            </w:r>
          </w:p>
        </w:tc>
      </w:tr>
      <w:tr w:rsidR="00816ED0" w:rsidRPr="00816ED0" w:rsidTr="00816ED0">
        <w:trPr>
          <w:trHeight w:val="270"/>
        </w:trPr>
        <w:tc>
          <w:tcPr>
            <w:tcW w:w="317" w:type="pct"/>
            <w:shd w:val="clear" w:color="auto" w:fill="auto"/>
            <w:noWrap/>
            <w:vAlign w:val="center"/>
            <w:hideMark/>
          </w:tcPr>
          <w:p w:rsidR="00816ED0" w:rsidRPr="00816ED0" w:rsidRDefault="00816ED0" w:rsidP="00816ED0">
            <w:pPr>
              <w:jc w:val="center"/>
              <w:rPr>
                <w:sz w:val="16"/>
              </w:rPr>
            </w:pPr>
            <w:r w:rsidRPr="00816ED0">
              <w:rPr>
                <w:rFonts w:hint="eastAsia"/>
                <w:sz w:val="16"/>
              </w:rPr>
              <w:t>2</w:t>
            </w:r>
            <w:r w:rsidRPr="00816ED0">
              <w:rPr>
                <w:rFonts w:hint="eastAsia"/>
                <w:sz w:val="16"/>
              </w:rPr>
              <w:t>月</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5341.31</w:t>
            </w:r>
          </w:p>
        </w:tc>
        <w:tc>
          <w:tcPr>
            <w:tcW w:w="506" w:type="pct"/>
            <w:shd w:val="clear" w:color="auto" w:fill="auto"/>
            <w:noWrap/>
            <w:vAlign w:val="center"/>
            <w:hideMark/>
          </w:tcPr>
          <w:p w:rsidR="00816ED0" w:rsidRPr="00816ED0" w:rsidRDefault="00816ED0" w:rsidP="00816ED0">
            <w:pPr>
              <w:jc w:val="center"/>
              <w:rPr>
                <w:sz w:val="16"/>
              </w:rPr>
            </w:pPr>
            <w:r w:rsidRPr="00816ED0">
              <w:rPr>
                <w:rFonts w:hint="eastAsia"/>
                <w:sz w:val="16"/>
              </w:rPr>
              <w:t>7318.97</w:t>
            </w:r>
          </w:p>
        </w:tc>
        <w:tc>
          <w:tcPr>
            <w:tcW w:w="506" w:type="pct"/>
            <w:shd w:val="clear" w:color="auto" w:fill="auto"/>
            <w:noWrap/>
            <w:vAlign w:val="center"/>
            <w:hideMark/>
          </w:tcPr>
          <w:p w:rsidR="00816ED0" w:rsidRPr="00816ED0" w:rsidRDefault="00816ED0" w:rsidP="00816ED0">
            <w:pPr>
              <w:jc w:val="center"/>
              <w:rPr>
                <w:sz w:val="16"/>
              </w:rPr>
            </w:pPr>
            <w:r w:rsidRPr="00816ED0">
              <w:rPr>
                <w:rFonts w:hint="eastAsia"/>
                <w:sz w:val="16"/>
              </w:rPr>
              <w:t>6691.45</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5397.31</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5684.82</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5876.69</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7253</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5235.07</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3474.07</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5450.47</w:t>
            </w:r>
          </w:p>
        </w:tc>
      </w:tr>
      <w:tr w:rsidR="00816ED0" w:rsidRPr="00816ED0" w:rsidTr="00816ED0">
        <w:trPr>
          <w:trHeight w:val="270"/>
        </w:trPr>
        <w:tc>
          <w:tcPr>
            <w:tcW w:w="317" w:type="pct"/>
            <w:shd w:val="clear" w:color="auto" w:fill="auto"/>
            <w:noWrap/>
            <w:vAlign w:val="center"/>
            <w:hideMark/>
          </w:tcPr>
          <w:p w:rsidR="00816ED0" w:rsidRPr="00816ED0" w:rsidRDefault="00816ED0" w:rsidP="00816ED0">
            <w:pPr>
              <w:jc w:val="center"/>
              <w:rPr>
                <w:sz w:val="16"/>
              </w:rPr>
            </w:pPr>
            <w:r w:rsidRPr="00816ED0">
              <w:rPr>
                <w:rFonts w:hint="eastAsia"/>
                <w:sz w:val="16"/>
              </w:rPr>
              <w:t>3</w:t>
            </w:r>
            <w:r w:rsidRPr="00816ED0">
              <w:rPr>
                <w:rFonts w:hint="eastAsia"/>
                <w:sz w:val="16"/>
              </w:rPr>
              <w:t>月</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5069.73</w:t>
            </w:r>
          </w:p>
        </w:tc>
        <w:tc>
          <w:tcPr>
            <w:tcW w:w="506" w:type="pct"/>
            <w:shd w:val="clear" w:color="auto" w:fill="auto"/>
            <w:noWrap/>
            <w:vAlign w:val="center"/>
            <w:hideMark/>
          </w:tcPr>
          <w:p w:rsidR="00816ED0" w:rsidRPr="00816ED0" w:rsidRDefault="00816ED0" w:rsidP="00816ED0">
            <w:pPr>
              <w:jc w:val="center"/>
              <w:rPr>
                <w:sz w:val="16"/>
              </w:rPr>
            </w:pPr>
            <w:r w:rsidRPr="00816ED0">
              <w:rPr>
                <w:rFonts w:hint="eastAsia"/>
                <w:sz w:val="16"/>
              </w:rPr>
              <w:t>6947.22</w:t>
            </w:r>
          </w:p>
        </w:tc>
        <w:tc>
          <w:tcPr>
            <w:tcW w:w="506" w:type="pct"/>
            <w:shd w:val="clear" w:color="auto" w:fill="auto"/>
            <w:noWrap/>
            <w:vAlign w:val="center"/>
            <w:hideMark/>
          </w:tcPr>
          <w:p w:rsidR="00816ED0" w:rsidRPr="00816ED0" w:rsidRDefault="00816ED0" w:rsidP="00816ED0">
            <w:pPr>
              <w:jc w:val="center"/>
              <w:rPr>
                <w:sz w:val="16"/>
              </w:rPr>
            </w:pPr>
            <w:r w:rsidRPr="00816ED0">
              <w:rPr>
                <w:rFonts w:hint="eastAsia"/>
                <w:sz w:val="16"/>
              </w:rPr>
              <w:t>6475.46</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5506.7</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5770.32</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5851.81</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7298.83</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5308.31</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3797.8</w:t>
            </w:r>
          </w:p>
        </w:tc>
        <w:tc>
          <w:tcPr>
            <w:tcW w:w="459" w:type="pct"/>
            <w:shd w:val="clear" w:color="auto" w:fill="auto"/>
            <w:noWrap/>
            <w:vAlign w:val="center"/>
            <w:hideMark/>
          </w:tcPr>
          <w:p w:rsidR="00816ED0" w:rsidRPr="00816ED0" w:rsidRDefault="00816ED0" w:rsidP="00816ED0">
            <w:pPr>
              <w:jc w:val="center"/>
              <w:rPr>
                <w:sz w:val="16"/>
              </w:rPr>
            </w:pPr>
            <w:r w:rsidRPr="00816ED0">
              <w:rPr>
                <w:rFonts w:hint="eastAsia"/>
                <w:sz w:val="16"/>
              </w:rPr>
              <w:t>5602.27</w:t>
            </w:r>
          </w:p>
        </w:tc>
      </w:tr>
    </w:tbl>
    <w:p w:rsidR="00816ED0" w:rsidRDefault="00816ED0">
      <w:pPr>
        <w:rPr>
          <w:rFonts w:hint="eastAsia"/>
        </w:rPr>
      </w:pPr>
    </w:p>
    <w:tbl>
      <w:tblPr>
        <w:tblW w:w="5000" w:type="pct"/>
        <w:jc w:val="center"/>
        <w:tblLook w:val="04A0"/>
      </w:tblPr>
      <w:tblGrid>
        <w:gridCol w:w="536"/>
        <w:gridCol w:w="907"/>
        <w:gridCol w:w="907"/>
        <w:gridCol w:w="908"/>
        <w:gridCol w:w="797"/>
        <w:gridCol w:w="797"/>
        <w:gridCol w:w="696"/>
        <w:gridCol w:w="687"/>
        <w:gridCol w:w="797"/>
        <w:gridCol w:w="687"/>
        <w:gridCol w:w="803"/>
      </w:tblGrid>
      <w:tr w:rsidR="00816ED0" w:rsidRPr="00816ED0" w:rsidTr="00816ED0">
        <w:trPr>
          <w:trHeight w:val="270"/>
          <w:jc w:val="center"/>
        </w:trPr>
        <w:tc>
          <w:tcPr>
            <w:tcW w:w="5000" w:type="pct"/>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2023</w:t>
            </w:r>
            <w:r w:rsidRPr="00816ED0">
              <w:rPr>
                <w:rFonts w:hint="eastAsia"/>
                <w:sz w:val="16"/>
              </w:rPr>
              <w:t>年环比上月平均价格增减量</w:t>
            </w:r>
            <w:r w:rsidRPr="00816ED0">
              <w:rPr>
                <w:rFonts w:hint="eastAsia"/>
                <w:sz w:val="16"/>
              </w:rPr>
              <w:t xml:space="preserve">  </w:t>
            </w:r>
            <w:r w:rsidRPr="00816ED0">
              <w:rPr>
                <w:rFonts w:hint="eastAsia"/>
                <w:sz w:val="16"/>
              </w:rPr>
              <w:t>元</w:t>
            </w:r>
            <w:r w:rsidRPr="00816ED0">
              <w:rPr>
                <w:rFonts w:hint="eastAsia"/>
                <w:sz w:val="16"/>
              </w:rPr>
              <w:t>/</w:t>
            </w:r>
            <w:r w:rsidRPr="00816ED0">
              <w:rPr>
                <w:rFonts w:hint="eastAsia"/>
                <w:sz w:val="16"/>
              </w:rPr>
              <w:t>吨</w:t>
            </w:r>
          </w:p>
        </w:tc>
      </w:tr>
      <w:tr w:rsidR="00816ED0" w:rsidRPr="00816ED0" w:rsidTr="00816ED0">
        <w:trPr>
          <w:trHeight w:val="270"/>
          <w:jc w:val="center"/>
        </w:trPr>
        <w:tc>
          <w:tcPr>
            <w:tcW w:w="27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rPr>
                <w:sz w:val="16"/>
              </w:rPr>
            </w:pPr>
            <w:r w:rsidRPr="00816ED0">
              <w:rPr>
                <w:rFonts w:hint="eastAsia"/>
                <w:sz w:val="16"/>
              </w:rPr>
              <w:t>日期</w:t>
            </w: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煤焦油</w:t>
            </w: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改性沥青</w:t>
            </w: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中温沥青</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洗油</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轻油</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工业</w:t>
            </w:r>
            <w:proofErr w:type="gramStart"/>
            <w:r w:rsidRPr="00816ED0">
              <w:rPr>
                <w:rFonts w:hint="eastAsia"/>
                <w:sz w:val="16"/>
              </w:rPr>
              <w:t>萘</w:t>
            </w:r>
            <w:proofErr w:type="gramEnd"/>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精萘</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proofErr w:type="gramStart"/>
            <w:r w:rsidRPr="00816ED0">
              <w:rPr>
                <w:rFonts w:hint="eastAsia"/>
                <w:sz w:val="16"/>
              </w:rPr>
              <w:t>蒽</w:t>
            </w:r>
            <w:proofErr w:type="gramEnd"/>
            <w:r w:rsidRPr="00816ED0">
              <w:rPr>
                <w:rFonts w:hint="eastAsia"/>
                <w:sz w:val="16"/>
              </w:rPr>
              <w:t>油</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粗酚</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proofErr w:type="gramStart"/>
            <w:r w:rsidRPr="00816ED0">
              <w:rPr>
                <w:rFonts w:hint="eastAsia"/>
                <w:sz w:val="16"/>
              </w:rPr>
              <w:t>酚</w:t>
            </w:r>
            <w:proofErr w:type="gramEnd"/>
            <w:r w:rsidRPr="00816ED0">
              <w:rPr>
                <w:rFonts w:hint="eastAsia"/>
                <w:sz w:val="16"/>
              </w:rPr>
              <w:t>油</w:t>
            </w:r>
          </w:p>
        </w:tc>
      </w:tr>
      <w:tr w:rsidR="00816ED0" w:rsidRPr="00816ED0" w:rsidTr="00816ED0">
        <w:trPr>
          <w:trHeight w:val="270"/>
          <w:jc w:val="center"/>
        </w:trPr>
        <w:tc>
          <w:tcPr>
            <w:tcW w:w="27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rPr>
                <w:sz w:val="16"/>
              </w:rPr>
            </w:pPr>
            <w:r w:rsidRPr="00816ED0">
              <w:rPr>
                <w:rFonts w:hint="eastAsia"/>
                <w:sz w:val="16"/>
              </w:rPr>
              <w:t>1</w:t>
            </w:r>
            <w:r w:rsidRPr="00816ED0">
              <w:rPr>
                <w:rFonts w:hint="eastAsia"/>
                <w:sz w:val="16"/>
              </w:rPr>
              <w:t>月</w:t>
            </w: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-1171.64</w:t>
            </w: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-162.38</w:t>
            </w: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-80.67</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-584.11</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-131.03</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89.62</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-6.45</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-617.84</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97.64</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-432.87</w:t>
            </w:r>
          </w:p>
        </w:tc>
      </w:tr>
      <w:tr w:rsidR="00816ED0" w:rsidRPr="00816ED0" w:rsidTr="00816ED0">
        <w:trPr>
          <w:trHeight w:val="270"/>
          <w:jc w:val="center"/>
        </w:trPr>
        <w:tc>
          <w:tcPr>
            <w:tcW w:w="27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rPr>
                <w:sz w:val="16"/>
              </w:rPr>
            </w:pPr>
            <w:r w:rsidRPr="00816ED0">
              <w:rPr>
                <w:rFonts w:hint="eastAsia"/>
                <w:sz w:val="16"/>
              </w:rPr>
              <w:t>2</w:t>
            </w:r>
            <w:r w:rsidRPr="00816ED0">
              <w:rPr>
                <w:rFonts w:hint="eastAsia"/>
                <w:sz w:val="16"/>
              </w:rPr>
              <w:t>月</w:t>
            </w: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139.62</w:t>
            </w: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-786.2</w:t>
            </w: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-1034</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-119.33</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-22.32</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148.12</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-35.39</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-325.42</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9.55</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-13.61</w:t>
            </w:r>
          </w:p>
        </w:tc>
      </w:tr>
      <w:tr w:rsidR="00816ED0" w:rsidRPr="00816ED0" w:rsidTr="00816ED0">
        <w:trPr>
          <w:trHeight w:val="270"/>
          <w:jc w:val="center"/>
        </w:trPr>
        <w:tc>
          <w:tcPr>
            <w:tcW w:w="27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rPr>
                <w:sz w:val="16"/>
              </w:rPr>
            </w:pPr>
            <w:r w:rsidRPr="00816ED0">
              <w:rPr>
                <w:rFonts w:hint="eastAsia"/>
                <w:sz w:val="16"/>
              </w:rPr>
              <w:t>3</w:t>
            </w:r>
            <w:r w:rsidRPr="00816ED0">
              <w:rPr>
                <w:rFonts w:hint="eastAsia"/>
                <w:sz w:val="16"/>
              </w:rPr>
              <w:t>月</w:t>
            </w: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-271.58</w:t>
            </w: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-371.75</w:t>
            </w:r>
          </w:p>
        </w:tc>
        <w:tc>
          <w:tcPr>
            <w:tcW w:w="53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-215.99</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109.39</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85.5</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-24.88</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45.83</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73.24</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323.73</w:t>
            </w:r>
          </w:p>
        </w:tc>
        <w:tc>
          <w:tcPr>
            <w:tcW w:w="472"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6"/>
              </w:rPr>
            </w:pPr>
            <w:r w:rsidRPr="00816ED0">
              <w:rPr>
                <w:rFonts w:hint="eastAsia"/>
                <w:sz w:val="16"/>
              </w:rPr>
              <w:t>151.8</w:t>
            </w:r>
          </w:p>
        </w:tc>
      </w:tr>
    </w:tbl>
    <w:p w:rsidR="00816ED0" w:rsidRDefault="00816ED0">
      <w:pPr>
        <w:rPr>
          <w:rFonts w:hint="eastAsia"/>
        </w:rPr>
      </w:pPr>
    </w:p>
    <w:tbl>
      <w:tblPr>
        <w:tblW w:w="5000" w:type="pct"/>
        <w:tblLook w:val="04A0"/>
      </w:tblPr>
      <w:tblGrid>
        <w:gridCol w:w="608"/>
        <w:gridCol w:w="891"/>
        <w:gridCol w:w="1174"/>
        <w:gridCol w:w="1174"/>
        <w:gridCol w:w="607"/>
        <w:gridCol w:w="607"/>
        <w:gridCol w:w="891"/>
        <w:gridCol w:w="607"/>
        <w:gridCol w:w="607"/>
        <w:gridCol w:w="748"/>
        <w:gridCol w:w="608"/>
      </w:tblGrid>
      <w:tr w:rsidR="00816ED0" w:rsidRPr="00816ED0" w:rsidTr="00816ED0">
        <w:trPr>
          <w:trHeight w:val="270"/>
        </w:trPr>
        <w:tc>
          <w:tcPr>
            <w:tcW w:w="5000" w:type="pct"/>
            <w:gridSpan w:val="11"/>
            <w:tcBorders>
              <w:top w:val="single" w:sz="4" w:space="0" w:color="000000"/>
              <w:left w:val="single" w:sz="4" w:space="0" w:color="000000"/>
              <w:bottom w:val="single" w:sz="4" w:space="0" w:color="000000"/>
              <w:right w:val="nil"/>
            </w:tcBorders>
            <w:shd w:val="clear" w:color="auto" w:fill="auto"/>
            <w:noWrap/>
            <w:vAlign w:val="center"/>
            <w:hideMark/>
          </w:tcPr>
          <w:p w:rsidR="00816ED0" w:rsidRPr="00816ED0" w:rsidRDefault="00816ED0" w:rsidP="00816ED0">
            <w:pPr>
              <w:jc w:val="center"/>
              <w:rPr>
                <w:sz w:val="18"/>
              </w:rPr>
            </w:pPr>
            <w:r w:rsidRPr="00816ED0">
              <w:rPr>
                <w:rFonts w:hint="eastAsia"/>
                <w:sz w:val="18"/>
              </w:rPr>
              <w:t>2023</w:t>
            </w:r>
            <w:r w:rsidRPr="00816ED0">
              <w:rPr>
                <w:rFonts w:hint="eastAsia"/>
                <w:sz w:val="18"/>
              </w:rPr>
              <w:t>年我国部分焦化产品平均价格同比变化</w:t>
            </w:r>
            <w:r w:rsidRPr="00816ED0">
              <w:rPr>
                <w:rFonts w:hint="eastAsia"/>
                <w:sz w:val="18"/>
              </w:rPr>
              <w:t xml:space="preserve">   %</w:t>
            </w:r>
          </w:p>
        </w:tc>
      </w:tr>
      <w:tr w:rsidR="00816ED0" w:rsidRPr="00816ED0" w:rsidTr="00816ED0">
        <w:trPr>
          <w:trHeight w:val="270"/>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rPr>
                <w:sz w:val="18"/>
              </w:rPr>
            </w:pPr>
            <w:r w:rsidRPr="00816ED0">
              <w:rPr>
                <w:rFonts w:hint="eastAsia"/>
                <w:sz w:val="18"/>
              </w:rPr>
              <w:t>日期</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煤焦油</w:t>
            </w:r>
          </w:p>
        </w:tc>
        <w:tc>
          <w:tcPr>
            <w:tcW w:w="6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改性沥青</w:t>
            </w:r>
          </w:p>
        </w:tc>
        <w:tc>
          <w:tcPr>
            <w:tcW w:w="6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中温沥青</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洗油</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轻油</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工业</w:t>
            </w:r>
            <w:proofErr w:type="gramStart"/>
            <w:r w:rsidRPr="00816ED0">
              <w:rPr>
                <w:rFonts w:hint="eastAsia"/>
                <w:sz w:val="18"/>
              </w:rPr>
              <w:t>萘</w:t>
            </w:r>
            <w:proofErr w:type="gramEnd"/>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精萘</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proofErr w:type="gramStart"/>
            <w:r w:rsidRPr="00816ED0">
              <w:rPr>
                <w:rFonts w:hint="eastAsia"/>
                <w:sz w:val="18"/>
              </w:rPr>
              <w:t>蒽</w:t>
            </w:r>
            <w:proofErr w:type="gramEnd"/>
            <w:r w:rsidRPr="00816ED0">
              <w:rPr>
                <w:rFonts w:hint="eastAsia"/>
                <w:sz w:val="18"/>
              </w:rPr>
              <w:t>油</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粗酚</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proofErr w:type="gramStart"/>
            <w:r w:rsidRPr="00816ED0">
              <w:rPr>
                <w:rFonts w:hint="eastAsia"/>
                <w:sz w:val="18"/>
              </w:rPr>
              <w:t>酚</w:t>
            </w:r>
            <w:proofErr w:type="gramEnd"/>
            <w:r w:rsidRPr="00816ED0">
              <w:rPr>
                <w:rFonts w:hint="eastAsia"/>
                <w:sz w:val="18"/>
              </w:rPr>
              <w:t>油</w:t>
            </w:r>
          </w:p>
        </w:tc>
      </w:tr>
      <w:tr w:rsidR="00816ED0" w:rsidRPr="00816ED0" w:rsidTr="00816ED0">
        <w:trPr>
          <w:trHeight w:val="270"/>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rPr>
                <w:sz w:val="18"/>
              </w:rPr>
            </w:pPr>
            <w:r w:rsidRPr="00816ED0">
              <w:rPr>
                <w:rFonts w:hint="eastAsia"/>
                <w:sz w:val="18"/>
              </w:rPr>
              <w:t>1</w:t>
            </w:r>
            <w:r w:rsidRPr="00816ED0">
              <w:rPr>
                <w:rFonts w:hint="eastAsia"/>
                <w:sz w:val="18"/>
              </w:rPr>
              <w:t>月</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10.8</w:t>
            </w:r>
          </w:p>
        </w:tc>
        <w:tc>
          <w:tcPr>
            <w:tcW w:w="6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28.8</w:t>
            </w:r>
          </w:p>
        </w:tc>
        <w:tc>
          <w:tcPr>
            <w:tcW w:w="6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31.3</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18.6</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17.7</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16.8</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19.1</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18.1</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-51.3</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23.2</w:t>
            </w:r>
          </w:p>
        </w:tc>
      </w:tr>
      <w:tr w:rsidR="00816ED0" w:rsidRPr="00816ED0" w:rsidTr="00816ED0">
        <w:trPr>
          <w:trHeight w:val="270"/>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rPr>
                <w:sz w:val="18"/>
              </w:rPr>
            </w:pPr>
            <w:r w:rsidRPr="00816ED0">
              <w:rPr>
                <w:rFonts w:hint="eastAsia"/>
                <w:sz w:val="18"/>
              </w:rPr>
              <w:t>2</w:t>
            </w:r>
            <w:r w:rsidRPr="00816ED0">
              <w:rPr>
                <w:rFonts w:hint="eastAsia"/>
                <w:sz w:val="18"/>
              </w:rPr>
              <w:t>月</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12.1</w:t>
            </w:r>
          </w:p>
        </w:tc>
        <w:tc>
          <w:tcPr>
            <w:tcW w:w="6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15.4</w:t>
            </w:r>
          </w:p>
        </w:tc>
        <w:tc>
          <w:tcPr>
            <w:tcW w:w="6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12.1</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13.0</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12.1</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15.8</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12.2</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9.8</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-51.1</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19.0</w:t>
            </w:r>
          </w:p>
        </w:tc>
      </w:tr>
      <w:tr w:rsidR="00816ED0" w:rsidRPr="00816ED0" w:rsidTr="00816ED0">
        <w:trPr>
          <w:trHeight w:val="270"/>
        </w:trPr>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rPr>
                <w:sz w:val="18"/>
              </w:rPr>
            </w:pPr>
            <w:r w:rsidRPr="00816ED0">
              <w:rPr>
                <w:rFonts w:hint="eastAsia"/>
                <w:sz w:val="18"/>
              </w:rPr>
              <w:t>3</w:t>
            </w:r>
            <w:r w:rsidRPr="00816ED0">
              <w:rPr>
                <w:rFonts w:hint="eastAsia"/>
                <w:sz w:val="18"/>
              </w:rPr>
              <w:t>月</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4.5</w:t>
            </w:r>
          </w:p>
        </w:tc>
        <w:tc>
          <w:tcPr>
            <w:tcW w:w="6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11.5</w:t>
            </w:r>
          </w:p>
        </w:tc>
        <w:tc>
          <w:tcPr>
            <w:tcW w:w="68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11.5</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9.2</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4.0</w:t>
            </w:r>
          </w:p>
        </w:tc>
        <w:tc>
          <w:tcPr>
            <w:tcW w:w="52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16.7</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12.0</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10.0</w:t>
            </w:r>
          </w:p>
        </w:tc>
        <w:tc>
          <w:tcPr>
            <w:tcW w:w="43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-45.4</w:t>
            </w:r>
          </w:p>
        </w:tc>
        <w:tc>
          <w:tcPr>
            <w:tcW w:w="3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16ED0" w:rsidRPr="00816ED0" w:rsidRDefault="00816ED0" w:rsidP="00816ED0">
            <w:pPr>
              <w:jc w:val="center"/>
              <w:rPr>
                <w:sz w:val="18"/>
              </w:rPr>
            </w:pPr>
            <w:r w:rsidRPr="00816ED0">
              <w:rPr>
                <w:rFonts w:hint="eastAsia"/>
                <w:sz w:val="18"/>
              </w:rPr>
              <w:t>17.5</w:t>
            </w:r>
          </w:p>
        </w:tc>
      </w:tr>
    </w:tbl>
    <w:p w:rsidR="00816ED0" w:rsidRDefault="00816ED0"/>
    <w:sectPr w:rsidR="00816ED0" w:rsidSect="00B03B1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16ED0"/>
    <w:rsid w:val="005B4BD4"/>
    <w:rsid w:val="00816ED0"/>
    <w:rsid w:val="00B03B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B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0964925">
      <w:bodyDiv w:val="1"/>
      <w:marLeft w:val="0"/>
      <w:marRight w:val="0"/>
      <w:marTop w:val="0"/>
      <w:marBottom w:val="0"/>
      <w:divBdr>
        <w:top w:val="none" w:sz="0" w:space="0" w:color="auto"/>
        <w:left w:val="none" w:sz="0" w:space="0" w:color="auto"/>
        <w:bottom w:val="none" w:sz="0" w:space="0" w:color="auto"/>
        <w:right w:val="none" w:sz="0" w:space="0" w:color="auto"/>
      </w:divBdr>
    </w:div>
    <w:div w:id="1499224855">
      <w:bodyDiv w:val="1"/>
      <w:marLeft w:val="0"/>
      <w:marRight w:val="0"/>
      <w:marTop w:val="0"/>
      <w:marBottom w:val="0"/>
      <w:divBdr>
        <w:top w:val="none" w:sz="0" w:space="0" w:color="auto"/>
        <w:left w:val="none" w:sz="0" w:space="0" w:color="auto"/>
        <w:bottom w:val="none" w:sz="0" w:space="0" w:color="auto"/>
        <w:right w:val="none" w:sz="0" w:space="0" w:color="auto"/>
      </w:divBdr>
    </w:div>
    <w:div w:id="214677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142</Words>
  <Characters>814</Characters>
  <Application>Microsoft Office Word</Application>
  <DocSecurity>0</DocSecurity>
  <Lines>6</Lines>
  <Paragraphs>1</Paragraphs>
  <ScaleCrop>false</ScaleCrop>
  <Company/>
  <LinksUpToDate>false</LinksUpToDate>
  <CharactersWithSpaces>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2023-04-21T03:39:00Z</dcterms:created>
  <dcterms:modified xsi:type="dcterms:W3CDTF">2023-04-21T03:49:00Z</dcterms:modified>
</cp:coreProperties>
</file>