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E94F3" w14:textId="77777777" w:rsidR="00E1606C" w:rsidRPr="00E1606C" w:rsidRDefault="00E1606C" w:rsidP="00E1606C">
      <w:pPr>
        <w:rPr>
          <w:b/>
        </w:rPr>
      </w:pPr>
      <w:r w:rsidRPr="00E1606C">
        <w:rPr>
          <w:rFonts w:hint="eastAsia"/>
          <w:b/>
        </w:rPr>
        <w:t>大友嘉能股票定向募资1000万元</w:t>
      </w:r>
    </w:p>
    <w:p w14:paraId="31C51F58" w14:textId="77777777" w:rsidR="00E1606C" w:rsidRPr="00E1606C" w:rsidRDefault="00E1606C" w:rsidP="00E1606C">
      <w:r w:rsidRPr="00E1606C">
        <w:rPr>
          <w:rFonts w:hint="eastAsia"/>
        </w:rPr>
        <w:t>总部设在甘肃省嘉峪关市的大友嘉能</w:t>
      </w:r>
      <w:proofErr w:type="gramStart"/>
      <w:r w:rsidRPr="00E1606C">
        <w:rPr>
          <w:rFonts w:hint="eastAsia"/>
        </w:rPr>
        <w:t>精碳科技</w:t>
      </w:r>
      <w:proofErr w:type="gramEnd"/>
      <w:r w:rsidRPr="00E1606C">
        <w:rPr>
          <w:rFonts w:hint="eastAsia"/>
        </w:rPr>
        <w:t>股份有限公司，近日发布了《股票定向发行情况报告书》。该报告书称，新增投资者</w:t>
      </w:r>
      <w:proofErr w:type="gramStart"/>
      <w:r w:rsidRPr="00E1606C">
        <w:rPr>
          <w:rFonts w:hint="eastAsia"/>
        </w:rPr>
        <w:t>甘肃兴陇有色金属</w:t>
      </w:r>
      <w:proofErr w:type="gramEnd"/>
      <w:r w:rsidRPr="00E1606C">
        <w:rPr>
          <w:rFonts w:hint="eastAsia"/>
        </w:rPr>
        <w:t>新材料创业投资基金有限公司，以现金方式认购357.21万股，认购金额1000.19万元，持股比例为3.67%。</w:t>
      </w:r>
    </w:p>
    <w:p w14:paraId="7250508D" w14:textId="77777777" w:rsidR="00E1606C" w:rsidRPr="00E1606C" w:rsidRDefault="00E1606C" w:rsidP="00E1606C">
      <w:r w:rsidRPr="00E1606C">
        <w:rPr>
          <w:rFonts w:hint="eastAsia"/>
        </w:rPr>
        <w:t>大友嘉能是甘肃一家专业从事炭黑研发、生产及销售的国家级高新技术企业，主要产品为N100、N200系列及其他色母粒专用系列等改性高规格型号炭黑。目前，该公司已形成“煤焦油无害化深加工-炭黑-尾气余热回收发电”的绿色循环产业链。该公司股票于2022年12月在北京证券交易所注册上市，证券简称：大友嘉能，证券代码：873970。（观察员）</w:t>
      </w:r>
    </w:p>
    <w:p w14:paraId="1AAB8DA8" w14:textId="77777777" w:rsidR="00324803" w:rsidRDefault="00324803"/>
    <w:sectPr w:rsidR="00324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C23D0" w14:textId="77777777" w:rsidR="00713EAB" w:rsidRDefault="00713EAB" w:rsidP="00E1606C">
      <w:r>
        <w:separator/>
      </w:r>
    </w:p>
  </w:endnote>
  <w:endnote w:type="continuationSeparator" w:id="0">
    <w:p w14:paraId="5D78A5DD" w14:textId="77777777" w:rsidR="00713EAB" w:rsidRDefault="00713EAB" w:rsidP="00E16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2A3EC" w14:textId="77777777" w:rsidR="00713EAB" w:rsidRDefault="00713EAB" w:rsidP="00E1606C">
      <w:r>
        <w:separator/>
      </w:r>
    </w:p>
  </w:footnote>
  <w:footnote w:type="continuationSeparator" w:id="0">
    <w:p w14:paraId="7260B755" w14:textId="77777777" w:rsidR="00713EAB" w:rsidRDefault="00713EAB" w:rsidP="00E160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46A"/>
    <w:rsid w:val="00324803"/>
    <w:rsid w:val="0065646A"/>
    <w:rsid w:val="00713EAB"/>
    <w:rsid w:val="00E16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C372867E-F7AC-475C-9ED1-6C4B18BD8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06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160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160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160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2023-06-26T06:03:00Z</dcterms:created>
  <dcterms:modified xsi:type="dcterms:W3CDTF">2023-06-26T06:03:00Z</dcterms:modified>
</cp:coreProperties>
</file>